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autoSpaceDE w:val="0"/>
        <w:autoSpaceDN w:val="0"/>
        <w:adjustRightInd w:val="0"/>
        <w:spacing w:line="400" w:lineRule="exact"/>
        <w:jc w:val="center"/>
        <w:outlineLvl w:val="0"/>
        <w:rPr>
          <w:rFonts w:hint="eastAsia" w:ascii="宋体" w:hAnsi="宋体" w:eastAsia="宋体" w:cs="Times New Roman"/>
          <w:b/>
          <w:color w:val="auto"/>
          <w:kern w:val="0"/>
          <w:sz w:val="36"/>
          <w:szCs w:val="36"/>
          <w:highlight w:val="none"/>
          <w:lang w:val="zh-CN"/>
        </w:rPr>
      </w:pPr>
      <w:r>
        <w:rPr>
          <w:rFonts w:hint="eastAsia" w:ascii="宋体" w:hAnsi="宋体" w:eastAsia="宋体" w:cs="Times New Roman"/>
          <w:b/>
          <w:color w:val="auto"/>
          <w:kern w:val="0"/>
          <w:sz w:val="36"/>
          <w:szCs w:val="36"/>
          <w:highlight w:val="none"/>
          <w:lang w:val="zh-CN"/>
        </w:rPr>
        <w:t>建筑垃圾减量化与资源化利用专篇（</w:t>
      </w:r>
      <w:r>
        <w:rPr>
          <w:rFonts w:hint="eastAsia" w:ascii="宋体" w:hAnsi="宋体" w:eastAsia="宋体" w:cs="Times New Roman"/>
          <w:b/>
          <w:color w:val="auto"/>
          <w:kern w:val="0"/>
          <w:sz w:val="36"/>
          <w:szCs w:val="36"/>
          <w:highlight w:val="none"/>
          <w:lang w:val="en-US" w:eastAsia="zh-CN"/>
        </w:rPr>
        <w:t>建筑</w:t>
      </w:r>
      <w:r>
        <w:rPr>
          <w:rFonts w:hint="eastAsia" w:ascii="宋体" w:hAnsi="宋体" w:eastAsia="宋体" w:cs="Times New Roman"/>
          <w:b/>
          <w:color w:val="auto"/>
          <w:kern w:val="0"/>
          <w:sz w:val="36"/>
          <w:szCs w:val="36"/>
          <w:highlight w:val="none"/>
          <w:lang w:val="zh-CN"/>
        </w:rPr>
        <w:t>）</w:t>
      </w:r>
    </w:p>
    <w:p>
      <w:pPr>
        <w:widowControl w:val="0"/>
        <w:numPr>
          <w:ilvl w:val="0"/>
          <w:numId w:val="0"/>
        </w:numPr>
        <w:autoSpaceDE w:val="0"/>
        <w:autoSpaceDN w:val="0"/>
        <w:adjustRightInd w:val="0"/>
        <w:spacing w:line="400" w:lineRule="exact"/>
        <w:jc w:val="center"/>
        <w:rPr>
          <w:rFonts w:hint="eastAsia" w:ascii="宋体" w:hAnsi="宋体" w:eastAsia="宋体" w:cs="Times New Roman"/>
          <w:b/>
          <w:color w:val="auto"/>
          <w:kern w:val="0"/>
          <w:sz w:val="36"/>
          <w:szCs w:val="36"/>
          <w:highlight w:val="none"/>
          <w:lang w:val="zh-CN"/>
        </w:rPr>
      </w:pPr>
    </w:p>
    <w:p>
      <w:pPr>
        <w:widowControl w:val="0"/>
        <w:numPr>
          <w:ilvl w:val="0"/>
          <w:numId w:val="0"/>
        </w:numPr>
        <w:autoSpaceDE w:val="0"/>
        <w:autoSpaceDN w:val="0"/>
        <w:adjustRightInd w:val="0"/>
        <w:spacing w:line="400" w:lineRule="exact"/>
        <w:jc w:val="center"/>
        <w:rPr>
          <w:rFonts w:hint="eastAsia" w:ascii="宋体" w:hAnsi="宋体" w:eastAsia="宋体" w:cs="Times New Roman"/>
          <w:b/>
          <w:color w:val="auto"/>
          <w:kern w:val="0"/>
          <w:sz w:val="36"/>
          <w:szCs w:val="36"/>
          <w:highlight w:val="none"/>
          <w:lang w:val="zh-CN"/>
        </w:rPr>
        <w:sectPr>
          <w:footerReference r:id="rId3" w:type="default"/>
          <w:pgSz w:w="23811" w:h="16838" w:orient="landscape"/>
          <w:pgMar w:top="1800" w:right="1723" w:bottom="1800" w:left="1837" w:header="720" w:footer="720" w:gutter="0"/>
          <w:pgBorders>
            <w:top w:val="none" w:sz="0" w:space="0"/>
            <w:left w:val="none" w:sz="0" w:space="0"/>
            <w:bottom w:val="none" w:sz="0" w:space="0"/>
            <w:right w:val="none" w:sz="0" w:space="0"/>
          </w:pgBorders>
          <w:cols w:space="425" w:num="1"/>
        </w:sect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b/>
          <w:color w:val="auto"/>
          <w:kern w:val="0"/>
          <w:sz w:val="28"/>
          <w:szCs w:val="28"/>
          <w:highlight w:val="none"/>
          <w:lang w:val="en-US" w:eastAsia="zh-CN"/>
        </w:rPr>
      </w:pPr>
      <w:r>
        <w:rPr>
          <w:rFonts w:ascii="宋体" w:hAnsi="宋体" w:eastAsia="宋体" w:cs="Times New Roman"/>
          <w:color w:val="auto"/>
          <w:kern w:val="0"/>
          <w:sz w:val="28"/>
          <w:szCs w:val="28"/>
          <w:highlight w:val="none"/>
          <w:lang w:val="zh-CN"/>
        </w:rPr>
        <w:t>杭州市作为全国建筑垃圾治理试点城市，积极响应国家“无废城市”建设和碳达峰、碳中和工作要求，根据</w:t>
      </w:r>
      <w:r>
        <w:rPr>
          <w:rFonts w:hint="eastAsia" w:ascii="宋体" w:hAnsi="宋体" w:eastAsia="宋体" w:cs="Times New Roman"/>
          <w:color w:val="auto"/>
          <w:kern w:val="0"/>
          <w:sz w:val="28"/>
          <w:szCs w:val="28"/>
          <w:highlight w:val="none"/>
          <w:lang w:val="zh-CN"/>
        </w:rPr>
        <w:t>省建设厅</w:t>
      </w:r>
      <w:r>
        <w:rPr>
          <w:rFonts w:hint="eastAsia" w:ascii="宋体" w:hAnsi="宋体" w:eastAsia="宋体" w:cs="Times New Roman"/>
          <w:color w:val="auto"/>
          <w:kern w:val="0"/>
          <w:sz w:val="28"/>
          <w:szCs w:val="28"/>
          <w:highlight w:val="none"/>
          <w:lang w:val="en-US" w:eastAsia="zh-CN"/>
        </w:rPr>
        <w:t>2026年2月发布的</w:t>
      </w:r>
      <w:r>
        <w:rPr>
          <w:rFonts w:hint="eastAsia" w:ascii="宋体" w:hAnsi="宋体" w:eastAsia="宋体" w:cs="Times New Roman"/>
          <w:color w:val="auto"/>
          <w:kern w:val="0"/>
          <w:sz w:val="28"/>
          <w:szCs w:val="28"/>
          <w:highlight w:val="none"/>
          <w:lang w:val="zh-CN"/>
        </w:rPr>
        <w:t>《浙江省建筑垃圾减量化专项设计指南（试行）》</w:t>
      </w:r>
      <w:r>
        <w:rPr>
          <w:rFonts w:hint="eastAsia" w:ascii="宋体" w:hAnsi="宋体" w:eastAsia="宋体" w:cs="Times New Roman"/>
          <w:color w:val="auto"/>
          <w:kern w:val="0"/>
          <w:sz w:val="28"/>
          <w:szCs w:val="28"/>
          <w:highlight w:val="none"/>
          <w:lang w:val="en-US" w:eastAsia="zh-CN"/>
        </w:rPr>
        <w:t>和</w:t>
      </w:r>
      <w:r>
        <w:rPr>
          <w:rFonts w:hint="eastAsia" w:ascii="宋体" w:hAnsi="宋体" w:eastAsia="宋体" w:cs="Times New Roman"/>
          <w:strike w:val="0"/>
          <w:dstrike w:val="0"/>
          <w:color w:val="auto"/>
          <w:kern w:val="0"/>
          <w:sz w:val="28"/>
          <w:szCs w:val="28"/>
          <w:highlight w:val="none"/>
          <w:lang w:val="en-US" w:eastAsia="zh-CN"/>
        </w:rPr>
        <w:t>《杭州市建设工程建筑垃圾减量化工作实施办法》（杭建工〔2024〕124号）</w:t>
      </w:r>
      <w:r>
        <w:rPr>
          <w:rFonts w:hint="eastAsia" w:ascii="宋体" w:hAnsi="宋体" w:eastAsia="宋体" w:cs="Times New Roman"/>
          <w:color w:val="auto"/>
          <w:kern w:val="0"/>
          <w:sz w:val="28"/>
          <w:szCs w:val="28"/>
          <w:highlight w:val="none"/>
          <w:lang w:val="zh-CN"/>
        </w:rPr>
        <w:t>，</w:t>
      </w:r>
      <w:r>
        <w:rPr>
          <w:rFonts w:hint="eastAsia" w:ascii="宋体" w:hAnsi="宋体" w:eastAsia="宋体" w:cs="Times New Roman"/>
          <w:color w:val="auto"/>
          <w:kern w:val="0"/>
          <w:sz w:val="28"/>
          <w:szCs w:val="28"/>
          <w:highlight w:val="none"/>
          <w:lang w:val="en-US" w:eastAsia="zh-CN"/>
        </w:rPr>
        <w:t>结合</w:t>
      </w:r>
      <w:r>
        <w:rPr>
          <w:rFonts w:ascii="宋体" w:hAnsi="宋体" w:eastAsia="宋体" w:cs="Times New Roman"/>
          <w:color w:val="auto"/>
          <w:kern w:val="0"/>
          <w:sz w:val="28"/>
          <w:szCs w:val="28"/>
          <w:highlight w:val="none"/>
          <w:lang w:val="zh-CN"/>
        </w:rPr>
        <w:t>《关于在全市房建市政工程推广应用建筑垃圾综合利用产品的通知》（杭建工</w:t>
      </w:r>
      <w:r>
        <w:rPr>
          <w:rFonts w:hint="eastAsia" w:ascii="宋体" w:hAnsi="宋体" w:eastAsia="宋体" w:cs="Times New Roman"/>
          <w:color w:val="auto"/>
          <w:kern w:val="0"/>
          <w:sz w:val="28"/>
          <w:szCs w:val="28"/>
          <w:highlight w:val="none"/>
          <w:lang w:val="zh-CN"/>
        </w:rPr>
        <w:t>〔</w:t>
      </w:r>
      <w:r>
        <w:rPr>
          <w:rFonts w:ascii="宋体" w:hAnsi="宋体" w:eastAsia="宋体" w:cs="Times New Roman"/>
          <w:color w:val="auto"/>
          <w:kern w:val="0"/>
          <w:sz w:val="28"/>
          <w:szCs w:val="28"/>
          <w:highlight w:val="none"/>
          <w:lang w:val="zh-CN"/>
        </w:rPr>
        <w:t>2025</w:t>
      </w:r>
      <w:r>
        <w:rPr>
          <w:rFonts w:hint="eastAsia" w:ascii="宋体" w:hAnsi="宋体" w:eastAsia="宋体" w:cs="Times New Roman"/>
          <w:color w:val="auto"/>
          <w:kern w:val="0"/>
          <w:sz w:val="28"/>
          <w:szCs w:val="28"/>
          <w:highlight w:val="none"/>
          <w:lang w:val="zh-CN"/>
        </w:rPr>
        <w:t>〕</w:t>
      </w:r>
      <w:r>
        <w:rPr>
          <w:rFonts w:ascii="宋体" w:hAnsi="宋体" w:eastAsia="宋体" w:cs="Times New Roman"/>
          <w:color w:val="auto"/>
          <w:kern w:val="0"/>
          <w:sz w:val="28"/>
          <w:szCs w:val="28"/>
          <w:highlight w:val="none"/>
          <w:lang w:val="zh-CN"/>
        </w:rPr>
        <w:t>118号）</w:t>
      </w:r>
      <w:r>
        <w:rPr>
          <w:rFonts w:hint="eastAsia" w:ascii="宋体" w:hAnsi="宋体" w:eastAsia="宋体" w:cs="Times New Roman"/>
          <w:color w:val="auto"/>
          <w:kern w:val="0"/>
          <w:sz w:val="28"/>
          <w:szCs w:val="28"/>
          <w:highlight w:val="none"/>
          <w:lang w:val="en-US" w:eastAsia="zh-CN"/>
        </w:rPr>
        <w:t>及</w:t>
      </w:r>
      <w:r>
        <w:rPr>
          <w:rFonts w:hint="eastAsia" w:ascii="宋体" w:hAnsi="宋体" w:eastAsia="宋体" w:cs="Times New Roman"/>
          <w:color w:val="auto"/>
          <w:kern w:val="0"/>
          <w:sz w:val="28"/>
          <w:szCs w:val="28"/>
          <w:highlight w:val="none"/>
          <w:lang w:val="zh-CN"/>
        </w:rPr>
        <w:t>《杭州市建筑垃圾资源化利用支持政策（试行）》（杭综法〔2026〕7 号）</w:t>
      </w:r>
      <w:r>
        <w:rPr>
          <w:rFonts w:hint="eastAsia" w:ascii="宋体" w:hAnsi="宋体" w:eastAsia="宋体" w:cs="Times New Roman"/>
          <w:color w:val="auto"/>
          <w:kern w:val="0"/>
          <w:sz w:val="28"/>
          <w:szCs w:val="28"/>
          <w:highlight w:val="none"/>
          <w:lang w:val="en-US" w:eastAsia="zh-CN"/>
        </w:rPr>
        <w:t>等文件精神</w:t>
      </w:r>
      <w:r>
        <w:rPr>
          <w:rFonts w:ascii="宋体" w:hAnsi="宋体" w:eastAsia="宋体" w:cs="Times New Roman"/>
          <w:color w:val="auto"/>
          <w:kern w:val="0"/>
          <w:sz w:val="28"/>
          <w:szCs w:val="28"/>
          <w:highlight w:val="none"/>
          <w:lang w:val="zh-CN"/>
        </w:rPr>
        <w:t>，制定市政工程中建筑垃圾</w:t>
      </w:r>
      <w:r>
        <w:rPr>
          <w:rFonts w:hint="eastAsia" w:ascii="宋体" w:hAnsi="宋体" w:eastAsia="宋体" w:cs="Times New Roman"/>
          <w:color w:val="auto"/>
          <w:kern w:val="0"/>
          <w:sz w:val="28"/>
          <w:szCs w:val="28"/>
          <w:highlight w:val="none"/>
          <w:lang w:val="en-US" w:eastAsia="zh-CN"/>
        </w:rPr>
        <w:t>减量化措施及建筑垃圾</w:t>
      </w:r>
      <w:r>
        <w:rPr>
          <w:rFonts w:ascii="宋体" w:hAnsi="宋体" w:eastAsia="宋体" w:cs="Times New Roman"/>
          <w:color w:val="auto"/>
          <w:kern w:val="0"/>
          <w:sz w:val="28"/>
          <w:szCs w:val="28"/>
          <w:highlight w:val="none"/>
          <w:lang w:val="zh-CN"/>
        </w:rPr>
        <w:t>综合利用产品的应用方案，</w:t>
      </w:r>
      <w:r>
        <w:rPr>
          <w:rFonts w:hint="eastAsia" w:ascii="宋体" w:hAnsi="宋体" w:eastAsia="宋体" w:cs="Times New Roman"/>
          <w:strike w:val="0"/>
          <w:dstrike w:val="0"/>
          <w:color w:val="auto"/>
          <w:kern w:val="0"/>
          <w:sz w:val="28"/>
          <w:szCs w:val="28"/>
          <w:highlight w:val="none"/>
          <w:lang w:val="en-US" w:eastAsia="zh-CN"/>
        </w:rPr>
        <w:t>以</w:t>
      </w:r>
      <w:r>
        <w:rPr>
          <w:rFonts w:ascii="宋体" w:hAnsi="宋体" w:eastAsia="宋体" w:cs="Times New Roman"/>
          <w:strike w:val="0"/>
          <w:dstrike w:val="0"/>
          <w:color w:val="auto"/>
          <w:kern w:val="0"/>
          <w:sz w:val="28"/>
          <w:szCs w:val="28"/>
          <w:highlight w:val="none"/>
          <w:lang w:val="zh-CN"/>
        </w:rPr>
        <w:t>实现“减量化、资源化、无害化”的总体目标</w:t>
      </w:r>
      <w:r>
        <w:rPr>
          <w:rFonts w:hint="eastAsia" w:ascii="宋体" w:hAnsi="宋体" w:eastAsia="宋体" w:cs="Times New Roman"/>
          <w:strike w:val="0"/>
          <w:dstrike w:val="0"/>
          <w:color w:val="auto"/>
          <w:kern w:val="0"/>
          <w:sz w:val="28"/>
          <w:szCs w:val="28"/>
          <w:highlight w:val="none"/>
          <w:lang w:val="zh-CN"/>
        </w:rPr>
        <w:t>。</w:t>
      </w:r>
      <w:r>
        <w:rPr>
          <w:rFonts w:hint="eastAsia" w:ascii="宋体" w:hAnsi="宋体" w:eastAsia="宋体" w:cs="Times New Roman"/>
          <w:color w:val="auto"/>
          <w:kern w:val="0"/>
          <w:sz w:val="28"/>
          <w:szCs w:val="28"/>
          <w:highlight w:val="none"/>
          <w:lang w:val="en-US" w:eastAsia="zh-CN"/>
        </w:rPr>
        <w:t>本专篇</w:t>
      </w:r>
      <w:r>
        <w:rPr>
          <w:rFonts w:ascii="宋体" w:hAnsi="宋体" w:eastAsia="宋体" w:cs="Times New Roman"/>
          <w:strike w:val="0"/>
          <w:dstrike w:val="0"/>
          <w:color w:val="auto"/>
          <w:kern w:val="0"/>
          <w:sz w:val="28"/>
          <w:szCs w:val="28"/>
          <w:highlight w:val="none"/>
          <w:lang w:val="zh-CN"/>
        </w:rPr>
        <w:t>旨</w:t>
      </w:r>
      <w:r>
        <w:rPr>
          <w:rFonts w:ascii="宋体" w:hAnsi="宋体" w:eastAsia="宋体" w:cs="Times New Roman"/>
          <w:color w:val="auto"/>
          <w:kern w:val="0"/>
          <w:sz w:val="28"/>
          <w:szCs w:val="28"/>
          <w:highlight w:val="none"/>
          <w:lang w:val="zh-CN"/>
        </w:rPr>
        <w:t>在</w:t>
      </w:r>
      <w:r>
        <w:rPr>
          <w:rFonts w:hint="eastAsia" w:ascii="宋体" w:hAnsi="宋体" w:eastAsia="宋体" w:cs="Times New Roman"/>
          <w:color w:val="auto"/>
          <w:kern w:val="0"/>
          <w:sz w:val="28"/>
          <w:szCs w:val="28"/>
          <w:highlight w:val="none"/>
          <w:lang w:val="en-US" w:eastAsia="zh-CN"/>
        </w:rPr>
        <w:t>源头减量的前提下，</w:t>
      </w:r>
      <w:r>
        <w:rPr>
          <w:rFonts w:ascii="宋体" w:hAnsi="宋体" w:eastAsia="宋体" w:cs="Times New Roman"/>
          <w:color w:val="auto"/>
          <w:kern w:val="0"/>
          <w:sz w:val="28"/>
          <w:szCs w:val="28"/>
          <w:highlight w:val="none"/>
          <w:lang w:val="zh-CN"/>
        </w:rPr>
        <w:t>提升建筑垃圾资源化利用水平，促进建筑垃圾综合利用产品落地推广，实现建筑垃圾的高效循环利用</w:t>
      </w:r>
      <w:r>
        <w:rPr>
          <w:rFonts w:hint="eastAsia" w:ascii="宋体" w:hAnsi="宋体" w:eastAsia="宋体" w:cs="Times New Roman"/>
          <w:color w:val="auto"/>
          <w:kern w:val="0"/>
          <w:sz w:val="28"/>
          <w:szCs w:val="28"/>
          <w:highlight w:val="none"/>
          <w:lang w:val="zh-CN"/>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Chars="0" w:firstLine="562" w:firstLineChars="200"/>
        <w:jc w:val="both"/>
        <w:textAlignment w:val="auto"/>
        <w:outlineLvl w:val="0"/>
        <w:rPr>
          <w:rFonts w:ascii="宋体" w:hAnsi="宋体" w:eastAsia="宋体" w:cs="Times New Roman"/>
          <w:b/>
          <w:color w:val="auto"/>
          <w:kern w:val="0"/>
          <w:sz w:val="28"/>
          <w:szCs w:val="28"/>
          <w:highlight w:val="none"/>
          <w:lang w:val="zh-CN"/>
        </w:rPr>
      </w:pPr>
      <w:r>
        <w:rPr>
          <w:rFonts w:hint="eastAsia" w:ascii="宋体" w:hAnsi="宋体" w:eastAsia="宋体" w:cs="Times New Roman"/>
          <w:b/>
          <w:color w:val="auto"/>
          <w:kern w:val="0"/>
          <w:sz w:val="28"/>
          <w:szCs w:val="28"/>
          <w:highlight w:val="none"/>
          <w:lang w:val="en-US" w:eastAsia="zh-CN"/>
        </w:rPr>
        <w:t>一、</w:t>
      </w:r>
      <w:r>
        <w:rPr>
          <w:rFonts w:ascii="宋体" w:hAnsi="宋体" w:eastAsia="宋体" w:cs="Times New Roman"/>
          <w:b/>
          <w:color w:val="auto"/>
          <w:kern w:val="0"/>
          <w:sz w:val="28"/>
          <w:szCs w:val="28"/>
          <w:highlight w:val="none"/>
          <w:lang w:val="zh-CN"/>
        </w:rPr>
        <w:t>建筑垃圾减量化</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ascii="宋体" w:hAnsi="宋体" w:eastAsia="宋体" w:cs="Times New Roman"/>
          <w:strike w:val="0"/>
          <w:dstrike w:val="0"/>
          <w:color w:val="auto"/>
          <w:kern w:val="0"/>
          <w:sz w:val="28"/>
          <w:szCs w:val="28"/>
          <w:highlight w:val="none"/>
          <w:lang w:val="zh-CN"/>
        </w:rPr>
      </w:pPr>
      <w:r>
        <w:rPr>
          <w:rFonts w:ascii="宋体" w:hAnsi="宋体" w:eastAsia="宋体" w:cs="Times New Roman"/>
          <w:strike w:val="0"/>
          <w:dstrike w:val="0"/>
          <w:color w:val="auto"/>
          <w:kern w:val="0"/>
          <w:sz w:val="28"/>
          <w:szCs w:val="28"/>
          <w:highlight w:val="none"/>
          <w:lang w:val="zh-CN"/>
        </w:rPr>
        <w:t>建筑垃圾减量化是杭州市建设工程的重要管理要求，也是推动绿色</w:t>
      </w:r>
      <w:r>
        <w:rPr>
          <w:rFonts w:hint="eastAsia" w:ascii="宋体" w:hAnsi="宋体" w:eastAsia="宋体" w:cs="Times New Roman"/>
          <w:strike w:val="0"/>
          <w:dstrike w:val="0"/>
          <w:color w:val="auto"/>
          <w:kern w:val="0"/>
          <w:sz w:val="28"/>
          <w:szCs w:val="28"/>
          <w:highlight w:val="none"/>
          <w:lang w:val="zh-CN"/>
        </w:rPr>
        <w:t>园区</w:t>
      </w:r>
      <w:r>
        <w:rPr>
          <w:rFonts w:ascii="宋体" w:hAnsi="宋体" w:eastAsia="宋体" w:cs="Times New Roman"/>
          <w:strike w:val="0"/>
          <w:dstrike w:val="0"/>
          <w:color w:val="auto"/>
          <w:kern w:val="0"/>
          <w:sz w:val="28"/>
          <w:szCs w:val="28"/>
          <w:highlight w:val="none"/>
          <w:lang w:val="zh-CN"/>
        </w:rPr>
        <w:t>建设、践行生态文明理念的关键举措</w:t>
      </w:r>
      <w:r>
        <w:rPr>
          <w:rFonts w:hint="eastAsia" w:ascii="宋体" w:hAnsi="宋体" w:eastAsia="宋体" w:cs="Times New Roman"/>
          <w:strike w:val="0"/>
          <w:dstrike w:val="0"/>
          <w:color w:val="auto"/>
          <w:kern w:val="0"/>
          <w:sz w:val="28"/>
          <w:szCs w:val="28"/>
          <w:highlight w:val="none"/>
          <w:lang w:val="zh-CN"/>
        </w:rPr>
        <w:t>，</w:t>
      </w:r>
      <w:r>
        <w:rPr>
          <w:rFonts w:hint="eastAsia" w:ascii="宋体" w:hAnsi="宋体" w:eastAsia="宋体" w:cs="Times New Roman"/>
          <w:color w:val="auto"/>
          <w:kern w:val="0"/>
          <w:sz w:val="28"/>
          <w:szCs w:val="28"/>
          <w:highlight w:val="none"/>
          <w:lang w:val="en-US" w:eastAsia="zh-CN"/>
        </w:rPr>
        <w:t>也</w:t>
      </w:r>
      <w:r>
        <w:rPr>
          <w:rFonts w:ascii="宋体" w:hAnsi="宋体" w:eastAsia="宋体" w:cs="Times New Roman"/>
          <w:color w:val="auto"/>
          <w:kern w:val="0"/>
          <w:sz w:val="28"/>
          <w:szCs w:val="28"/>
          <w:highlight w:val="none"/>
          <w:lang w:val="zh-CN"/>
        </w:rPr>
        <w:t>是建筑垃圾综合利用的首要基础，要求在建筑垃圾产生、运输、处理和利用的全过程实现源头减量。在设计阶段，</w:t>
      </w:r>
      <w:r>
        <w:rPr>
          <w:rFonts w:hint="eastAsia" w:ascii="宋体" w:hAnsi="宋体" w:eastAsia="宋体" w:cs="Times New Roman"/>
          <w:color w:val="auto"/>
          <w:kern w:val="0"/>
          <w:sz w:val="28"/>
          <w:szCs w:val="28"/>
          <w:highlight w:val="none"/>
          <w:lang w:val="en-US" w:eastAsia="zh-CN"/>
        </w:rPr>
        <w:t>宜</w:t>
      </w:r>
      <w:r>
        <w:rPr>
          <w:rFonts w:ascii="宋体" w:hAnsi="宋体" w:eastAsia="宋体" w:cs="Times New Roman"/>
          <w:color w:val="auto"/>
          <w:kern w:val="0"/>
          <w:sz w:val="28"/>
          <w:szCs w:val="28"/>
          <w:highlight w:val="none"/>
          <w:lang w:val="zh-CN"/>
        </w:rPr>
        <w:t>优先考虑采用标准化构件等技术，降低现场施工产生的建筑垃圾</w:t>
      </w:r>
      <w:r>
        <w:rPr>
          <w:rFonts w:hint="eastAsia" w:ascii="宋体" w:hAnsi="宋体" w:eastAsia="宋体" w:cs="Times New Roman"/>
          <w:color w:val="auto"/>
          <w:kern w:val="0"/>
          <w:sz w:val="28"/>
          <w:szCs w:val="28"/>
          <w:highlight w:val="none"/>
          <w:lang w:val="zh-CN"/>
        </w:rPr>
        <w:t>；</w:t>
      </w:r>
      <w:r>
        <w:rPr>
          <w:rFonts w:ascii="宋体" w:hAnsi="宋体" w:eastAsia="宋体" w:cs="Times New Roman"/>
          <w:color w:val="auto"/>
          <w:kern w:val="0"/>
          <w:sz w:val="28"/>
          <w:szCs w:val="28"/>
          <w:highlight w:val="none"/>
          <w:lang w:val="zh-CN"/>
        </w:rPr>
        <w:t>在施工阶段，应通过永临结合、周转材料重复利用等措施减少建筑垃圾的产生</w:t>
      </w:r>
      <w:r>
        <w:rPr>
          <w:rFonts w:hint="eastAsia" w:ascii="宋体" w:hAnsi="宋体" w:eastAsia="宋体" w:cs="Times New Roman"/>
          <w:color w:val="auto"/>
          <w:kern w:val="0"/>
          <w:sz w:val="28"/>
          <w:szCs w:val="28"/>
          <w:highlight w:val="none"/>
          <w:lang w:val="zh-CN"/>
        </w:rPr>
        <w:t>。</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562" w:firstLineChars="200"/>
        <w:textAlignment w:val="auto"/>
        <w:outlineLvl w:val="1"/>
        <w:rPr>
          <w:rFonts w:hint="eastAsia" w:ascii="宋体" w:hAnsi="宋体" w:eastAsia="宋体" w:cs="Times New Roman"/>
          <w:b/>
          <w:color w:val="C00000"/>
          <w:kern w:val="0"/>
          <w:sz w:val="28"/>
          <w:szCs w:val="28"/>
          <w:highlight w:val="none"/>
          <w:lang w:val="zh-CN" w:eastAsia="zh-CN"/>
        </w:rPr>
      </w:pPr>
      <w:r>
        <w:rPr>
          <w:rFonts w:hint="eastAsia" w:ascii="宋体" w:hAnsi="宋体" w:eastAsia="宋体" w:cs="Times New Roman"/>
          <w:b/>
          <w:color w:val="auto"/>
          <w:kern w:val="0"/>
          <w:sz w:val="28"/>
          <w:szCs w:val="28"/>
          <w:highlight w:val="none"/>
          <w:lang w:val="en-US" w:eastAsia="zh-CN"/>
        </w:rPr>
        <w:t>编制</w:t>
      </w:r>
      <w:r>
        <w:rPr>
          <w:rFonts w:ascii="宋体" w:hAnsi="宋体" w:eastAsia="宋体" w:cs="Times New Roman"/>
          <w:b/>
          <w:color w:val="auto"/>
          <w:kern w:val="0"/>
          <w:sz w:val="28"/>
          <w:szCs w:val="28"/>
          <w:highlight w:val="none"/>
          <w:lang w:val="zh-CN"/>
        </w:rPr>
        <w:t>依据</w:t>
      </w:r>
      <w:r>
        <w:rPr>
          <w:rFonts w:hint="eastAsia" w:ascii="宋体" w:hAnsi="宋体" w:eastAsia="宋体" w:cs="Times New Roman"/>
          <w:color w:val="C00000"/>
          <w:kern w:val="0"/>
          <w:sz w:val="28"/>
          <w:szCs w:val="28"/>
          <w:highlight w:val="none"/>
          <w:u w:val="wave"/>
          <w:lang w:val="zh-CN" w:eastAsia="zh-CN"/>
        </w:rPr>
        <w:t>（</w:t>
      </w:r>
      <w:r>
        <w:rPr>
          <w:rFonts w:hint="eastAsia" w:ascii="宋体" w:hAnsi="宋体" w:eastAsia="宋体" w:cs="Times New Roman"/>
          <w:color w:val="C00000"/>
          <w:kern w:val="0"/>
          <w:sz w:val="28"/>
          <w:szCs w:val="28"/>
          <w:highlight w:val="none"/>
          <w:u w:val="wave"/>
          <w:lang w:val="en-US" w:eastAsia="zh-CN"/>
        </w:rPr>
        <w:t>如有新文件，应及时调整）</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1.《住房和城乡建设部关于推进建筑垃圾减量化的指导意见》（建质〔2020〕46号）</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2.《</w:t>
      </w:r>
      <w:bookmarkStart w:id="0" w:name="OLE_LINK1"/>
      <w:r>
        <w:rPr>
          <w:rFonts w:hint="eastAsia" w:ascii="宋体" w:hAnsi="宋体" w:eastAsia="宋体" w:cs="Times New Roman"/>
          <w:strike w:val="0"/>
          <w:dstrike w:val="0"/>
          <w:color w:val="auto"/>
          <w:kern w:val="0"/>
          <w:sz w:val="28"/>
          <w:szCs w:val="28"/>
          <w:highlight w:val="none"/>
          <w:lang w:val="en-US" w:eastAsia="zh-CN"/>
        </w:rPr>
        <w:t>住房和城乡建设部办公厅关于印发施工现场建筑垃圾减量化指导手册</w:t>
      </w:r>
      <w:bookmarkEnd w:id="0"/>
      <w:r>
        <w:rPr>
          <w:rFonts w:hint="eastAsia" w:ascii="宋体" w:hAnsi="宋体" w:eastAsia="宋体" w:cs="Times New Roman"/>
          <w:strike w:val="0"/>
          <w:dstrike w:val="0"/>
          <w:color w:val="auto"/>
          <w:kern w:val="0"/>
          <w:sz w:val="28"/>
          <w:szCs w:val="28"/>
          <w:highlight w:val="none"/>
          <w:lang w:val="en-US" w:eastAsia="zh-CN"/>
        </w:rPr>
        <w:t>（试行）的通知》（建办质〔2020〕20号）</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3.《浙江省住房和城乡建设厅关于印发 &lt;浙江省深化建筑垃圾治理实施方案&gt; 的通知》（浙建城管〔2025〕19 号）</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4.《省建设厅&lt;关于开展建筑垃圾源头减量试点工作的通知&gt;》(浙建质安函〔2025〕343 号)</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5.省建设厅《关于开展房屋市政工程建筑垃圾减量化专项治理行动的通知》（浙建质安函〔2025〕366 号)</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6.《浙江省施工现场建筑垃圾减量化导则（试行）》（2026年1月）</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7.《浙江省建筑垃圾减量化专项设计指南（试行）》（2026年2月）</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8.《浙江省人民政府办公厅关于进一步规范渣土消纳管理的指导意见》（浙政办发〔2026〕7 号）</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default"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9.</w:t>
      </w:r>
      <w:r>
        <w:rPr>
          <w:rFonts w:hint="default" w:ascii="宋体" w:hAnsi="宋体" w:eastAsia="宋体" w:cs="Times New Roman"/>
          <w:strike w:val="0"/>
          <w:dstrike w:val="0"/>
          <w:color w:val="auto"/>
          <w:kern w:val="0"/>
          <w:sz w:val="28"/>
          <w:szCs w:val="28"/>
          <w:highlight w:val="none"/>
          <w:lang w:val="en-US" w:eastAsia="zh-CN"/>
        </w:rPr>
        <w:t>《杭州市人民政府办公厅关于进一步推进建筑垃圾长效管理的通知》（杭政办函〔2024〕41 号）</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10.《杭州市城乡建设委员会等部门关于印发 &lt;全市建设工程建筑垃圾源头管理一件事工作实施方案&gt; 的通知》（杭建工〔2024〕123 号）</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11.《杭州市城乡建设委员会等部门关于印发 &lt;杭州市建设工程建筑垃圾减量化工作实施办法&gt; 的通知》（杭建工〔2024〕124 号）</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12.《杭州市建筑垃圾管理条例》（2025 年 5 月 1 日起实施）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13.《杭州市美丽杭州建设领导小组办公室关于印发杭州市非法倾倒处置固体废物专项整治行动方案的通知》（杭美丽办便函〔2025〕172 号）</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default"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14.《杭州市房建市政工程建筑垃圾源头减量试点工作方案》（杭建工〔2025〕307 号）</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strike w:val="0"/>
          <w:dstrike w:val="0"/>
          <w:color w:val="auto"/>
          <w:kern w:val="0"/>
          <w:sz w:val="28"/>
          <w:szCs w:val="28"/>
          <w:highlight w:val="none"/>
          <w:lang w:val="en-US" w:eastAsia="zh-CN"/>
        </w:rPr>
      </w:pPr>
      <w:r>
        <w:rPr>
          <w:rFonts w:hint="eastAsia" w:ascii="宋体" w:hAnsi="宋体" w:eastAsia="宋体" w:cs="Times New Roman"/>
          <w:strike w:val="0"/>
          <w:dstrike w:val="0"/>
          <w:color w:val="auto"/>
          <w:kern w:val="0"/>
          <w:sz w:val="28"/>
          <w:szCs w:val="28"/>
          <w:highlight w:val="none"/>
          <w:lang w:val="en-US" w:eastAsia="zh-CN"/>
        </w:rPr>
        <w:t>15.项目规划条件及地形地貌相关基础数据</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562" w:firstLineChars="200"/>
        <w:textAlignment w:val="auto"/>
        <w:outlineLvl w:val="1"/>
        <w:rPr>
          <w:rFonts w:hint="eastAsia" w:ascii="宋体" w:hAnsi="宋体" w:eastAsia="宋体" w:cs="Times New Roman"/>
          <w:b/>
          <w:color w:val="auto"/>
          <w:kern w:val="0"/>
          <w:sz w:val="28"/>
          <w:szCs w:val="28"/>
          <w:highlight w:val="none"/>
          <w:lang w:val="zh-CN" w:eastAsia="zh-CN"/>
        </w:rPr>
      </w:pPr>
      <w:r>
        <w:rPr>
          <w:rFonts w:hint="eastAsia" w:ascii="宋体" w:hAnsi="宋体" w:eastAsia="宋体" w:cs="Times New Roman"/>
          <w:b/>
          <w:color w:val="auto"/>
          <w:kern w:val="0"/>
          <w:sz w:val="28"/>
          <w:szCs w:val="28"/>
          <w:highlight w:val="none"/>
          <w:lang w:val="en-US" w:eastAsia="zh-CN"/>
        </w:rPr>
        <w:t>减量化</w:t>
      </w:r>
      <w:r>
        <w:rPr>
          <w:rFonts w:hint="eastAsia" w:ascii="宋体" w:hAnsi="宋体" w:eastAsia="宋体" w:cs="Times New Roman"/>
          <w:b/>
          <w:color w:val="auto"/>
          <w:kern w:val="0"/>
          <w:sz w:val="28"/>
          <w:szCs w:val="28"/>
          <w:highlight w:val="none"/>
          <w:lang w:val="zh-CN" w:eastAsia="zh-CN"/>
        </w:rPr>
        <w:t>目标</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lang w:val="en-US" w:eastAsia="zh-CN"/>
        </w:rPr>
      </w:pPr>
      <w:r>
        <w:rPr>
          <w:rFonts w:hint="eastAsia" w:ascii="宋体" w:hAnsi="宋体" w:eastAsia="宋体" w:cs="Times New Roman"/>
          <w:color w:val="auto"/>
          <w:kern w:val="0"/>
          <w:sz w:val="28"/>
          <w:szCs w:val="28"/>
          <w:highlight w:val="none"/>
          <w:lang w:val="en-US" w:eastAsia="zh-CN"/>
        </w:rPr>
        <w:t>本项目为新建项目、新建装配式项目、杭州市房建市政工程建筑垃圾源头减量新建试点项目、杭州市房建市政工程建筑垃圾源头减量新建装配式试点项目</w:t>
      </w:r>
      <w:r>
        <w:rPr>
          <w:rFonts w:hint="eastAsia" w:ascii="宋体" w:hAnsi="宋体" w:eastAsia="宋体" w:cs="Times New Roman"/>
          <w:color w:val="C00000"/>
          <w:kern w:val="0"/>
          <w:sz w:val="28"/>
          <w:szCs w:val="28"/>
          <w:highlight w:val="none"/>
          <w:u w:val="wave"/>
          <w:lang w:val="en-US" w:eastAsia="zh-CN"/>
        </w:rPr>
        <w:t>（四选一）</w:t>
      </w:r>
      <w:r>
        <w:rPr>
          <w:rFonts w:hint="eastAsia" w:ascii="宋体" w:hAnsi="宋体" w:eastAsia="宋体" w:cs="Times New Roman"/>
          <w:color w:val="000000" w:themeColor="text1"/>
          <w:kern w:val="0"/>
          <w:sz w:val="28"/>
          <w:szCs w:val="28"/>
          <w:highlight w:val="none"/>
          <w:u w:val="none"/>
          <w:lang w:val="en-US" w:eastAsia="zh-CN"/>
          <w14:textFill>
            <w14:solidFill>
              <w14:schemeClr w14:val="tx1"/>
            </w14:solidFill>
          </w14:textFill>
        </w:rPr>
        <w:t>，</w:t>
      </w:r>
      <w:r>
        <w:rPr>
          <w:rFonts w:hint="eastAsia" w:ascii="宋体" w:hAnsi="宋体" w:eastAsia="宋体" w:cs="Times New Roman"/>
          <w:color w:val="auto"/>
          <w:kern w:val="0"/>
          <w:sz w:val="28"/>
          <w:szCs w:val="28"/>
          <w:highlight w:val="none"/>
          <w:lang w:val="en-US" w:eastAsia="zh-CN"/>
        </w:rPr>
        <w:t>总建筑面积____平方米。</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lang w:val="zh-CN"/>
        </w:rPr>
      </w:pPr>
      <w:r>
        <w:rPr>
          <w:rFonts w:hint="eastAsia" w:ascii="宋体" w:hAnsi="宋体" w:eastAsia="宋体" w:cs="Times New Roman"/>
          <w:color w:val="auto"/>
          <w:kern w:val="0"/>
          <w:sz w:val="28"/>
          <w:szCs w:val="28"/>
          <w:highlight w:val="none"/>
          <w:lang w:val="en-US" w:eastAsia="zh-CN"/>
        </w:rPr>
        <w:t>根据《土方平衡专项论证报告》，结合项目实际情况，通过采取减量化措施，本项目减量目标为工程渣土、工程泥浆排放量较估算量下降____吨，约合下降___%；建筑施工现场建筑垃圾(不包括工程渣土、工程泥浆)排放量每万平方米不高于300吨。</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562" w:firstLineChars="200"/>
        <w:textAlignment w:val="auto"/>
        <w:outlineLvl w:val="1"/>
        <w:rPr>
          <w:rFonts w:hint="default" w:ascii="宋体" w:hAnsi="宋体" w:eastAsia="宋体" w:cs="Times New Roman"/>
          <w:b/>
          <w:color w:val="auto"/>
          <w:kern w:val="0"/>
          <w:sz w:val="28"/>
          <w:szCs w:val="28"/>
          <w:highlight w:val="none"/>
          <w:lang w:val="en-US" w:eastAsia="zh-CN"/>
        </w:rPr>
      </w:pPr>
      <w:r>
        <w:rPr>
          <w:rFonts w:hint="eastAsia" w:ascii="宋体" w:hAnsi="宋体" w:eastAsia="宋体" w:cs="Times New Roman"/>
          <w:b/>
          <w:color w:val="auto"/>
          <w:kern w:val="0"/>
          <w:sz w:val="28"/>
          <w:szCs w:val="28"/>
          <w:highlight w:val="none"/>
          <w:lang w:val="zh-CN" w:eastAsia="zh-CN"/>
        </w:rPr>
        <w:t>减量</w:t>
      </w:r>
      <w:r>
        <w:rPr>
          <w:rFonts w:hint="eastAsia" w:ascii="宋体" w:hAnsi="宋体" w:eastAsia="宋体" w:cs="Times New Roman"/>
          <w:b/>
          <w:color w:val="auto"/>
          <w:kern w:val="0"/>
          <w:sz w:val="28"/>
          <w:szCs w:val="28"/>
          <w:highlight w:val="none"/>
          <w:lang w:val="en-US" w:eastAsia="zh-CN"/>
        </w:rPr>
        <w:t>化措施及预期成效</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b/>
          <w:bCs/>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1.场地与总平面布局</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2.土方工程设计减量优化</w:t>
      </w:r>
      <w:r>
        <w:rPr>
          <w:rFonts w:hint="eastAsia" w:ascii="宋体" w:hAnsi="宋体" w:eastAsia="宋体" w:cs="Times New Roman"/>
          <w:color w:val="auto"/>
          <w:kern w:val="0"/>
          <w:sz w:val="28"/>
          <w:szCs w:val="28"/>
          <w:highlight w:val="none"/>
          <w:lang w:val="en-US" w:eastAsia="zh-CN"/>
        </w:rPr>
        <w:t>（土方平衡论证与方案比选，形成《土方平衡专项论证报告》）</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b/>
          <w:bCs/>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3.建筑设计减量优化</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b/>
          <w:bCs/>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4.结构设计减量优化</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b/>
          <w:bCs/>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（1） 基坑围护工程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b/>
          <w:bCs/>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（2）地基基础工程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b/>
          <w:bCs/>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（3）主体结构工程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b/>
          <w:bCs/>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5.机电设计减量优化</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b/>
          <w:bCs/>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（1）给排水专业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b/>
          <w:bCs/>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（2）电气专业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（3）暖通专业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b/>
          <w:bCs/>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6.装饰装修设计减量优化</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b/>
          <w:bCs/>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7.既有建筑改造</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rPr>
          <w:rFonts w:hint="eastAsia" w:ascii="宋体" w:hAnsi="宋体" w:eastAsia="宋体" w:cs="Times New Roman"/>
          <w:color w:val="auto"/>
          <w:kern w:val="0"/>
          <w:sz w:val="28"/>
          <w:szCs w:val="28"/>
          <w:highlight w:val="none"/>
          <w:lang w:val="en-US" w:eastAsia="zh-CN"/>
        </w:rPr>
      </w:pPr>
      <w:r>
        <w:rPr>
          <w:rFonts w:hint="eastAsia" w:ascii="宋体" w:hAnsi="宋体" w:eastAsia="宋体" w:cs="Times New Roman"/>
          <w:b/>
          <w:bCs/>
          <w:color w:val="auto"/>
          <w:kern w:val="0"/>
          <w:sz w:val="28"/>
          <w:szCs w:val="28"/>
          <w:highlight w:val="none"/>
          <w:lang w:val="en-US" w:eastAsia="zh-CN"/>
        </w:rPr>
        <w:t>8.建筑垃圾减量预估与测算</w:t>
      </w:r>
      <w:r>
        <w:rPr>
          <w:rFonts w:hint="eastAsia" w:ascii="宋体" w:hAnsi="宋体" w:eastAsia="宋体" w:cs="Times New Roman"/>
          <w:color w:val="C00000"/>
          <w:kern w:val="0"/>
          <w:sz w:val="28"/>
          <w:szCs w:val="28"/>
          <w:highlight w:val="none"/>
          <w:u w:val="wave"/>
          <w:lang w:val="en-US" w:eastAsia="zh-CN"/>
        </w:rPr>
        <w:t>（备注：设计单位应根据项目采取的减量化措施进行方案设计和减量测算，并填写</w:t>
      </w:r>
      <w:r>
        <w:rPr>
          <w:rFonts w:hint="eastAsia" w:ascii="宋体" w:hAnsi="宋体" w:eastAsia="宋体" w:cs="Times New Roman"/>
          <w:color w:val="C00000"/>
          <w:kern w:val="0"/>
          <w:sz w:val="28"/>
          <w:szCs w:val="28"/>
          <w:highlight w:val="none"/>
          <w:u w:val="wave"/>
          <w:lang w:val="zh-CN" w:eastAsia="zh-CN"/>
        </w:rPr>
        <w:t>建筑垃圾减量预估表</w:t>
      </w:r>
      <w:r>
        <w:rPr>
          <w:rFonts w:hint="eastAsia" w:ascii="宋体" w:hAnsi="宋体" w:eastAsia="宋体" w:cs="Times New Roman"/>
          <w:color w:val="C00000"/>
          <w:kern w:val="0"/>
          <w:sz w:val="28"/>
          <w:szCs w:val="28"/>
          <w:highlight w:val="none"/>
          <w:u w:val="wave"/>
          <w:lang w:val="en-US" w:eastAsia="zh-CN"/>
        </w:rPr>
        <w:t>。以下内容仅为示例）</w:t>
      </w:r>
    </w:p>
    <w:p>
      <w:pPr>
        <w:rPr>
          <w:rFonts w:hint="eastAsia" w:ascii="宋体" w:hAnsi="宋体" w:eastAsia="宋体" w:cs="Times New Roman"/>
          <w:b/>
          <w:bCs/>
          <w:color w:val="auto"/>
          <w:kern w:val="0"/>
          <w:sz w:val="28"/>
          <w:szCs w:val="28"/>
          <w:highlight w:val="none"/>
          <w:lang w:val="zh-CN"/>
        </w:rPr>
      </w:pPr>
    </w:p>
    <w:p>
      <w:pPr>
        <w:rPr>
          <w:rFonts w:hint="eastAsia" w:ascii="宋体" w:hAnsi="宋体" w:eastAsia="宋体" w:cs="Times New Roman"/>
          <w:b/>
          <w:bCs/>
          <w:color w:val="auto"/>
          <w:kern w:val="0"/>
          <w:sz w:val="28"/>
          <w:szCs w:val="28"/>
          <w:highlight w:val="none"/>
          <w:lang w:val="zh-CN"/>
        </w:rPr>
      </w:pPr>
    </w:p>
    <w:p>
      <w:pPr>
        <w:jc w:val="center"/>
        <w:rPr>
          <w:rFonts w:hint="eastAsia" w:ascii="宋体" w:hAnsi="宋体" w:eastAsia="宋体" w:cs="Times New Roman"/>
          <w:b/>
          <w:bCs/>
          <w:color w:val="auto"/>
          <w:kern w:val="0"/>
          <w:sz w:val="28"/>
          <w:szCs w:val="28"/>
          <w:highlight w:val="none"/>
          <w:lang w:val="zh-CN"/>
        </w:rPr>
      </w:pPr>
    </w:p>
    <w:p>
      <w:pPr>
        <w:jc w:val="center"/>
        <w:rPr>
          <w:rFonts w:hint="eastAsia" w:ascii="宋体" w:hAnsi="宋体" w:eastAsia="宋体" w:cs="Times New Roman"/>
          <w:b/>
          <w:bCs/>
          <w:color w:val="auto"/>
          <w:kern w:val="0"/>
          <w:sz w:val="28"/>
          <w:szCs w:val="28"/>
          <w:highlight w:val="none"/>
          <w:lang w:val="zh-CN"/>
        </w:rPr>
      </w:pPr>
    </w:p>
    <w:p>
      <w:pPr>
        <w:jc w:val="center"/>
        <w:rPr>
          <w:rFonts w:hint="eastAsia" w:ascii="宋体" w:hAnsi="宋体" w:eastAsia="宋体" w:cs="Times New Roman"/>
          <w:b/>
          <w:bCs/>
          <w:color w:val="auto"/>
          <w:kern w:val="0"/>
          <w:sz w:val="28"/>
          <w:szCs w:val="28"/>
          <w:highlight w:val="none"/>
          <w:lang w:val="zh-CN"/>
        </w:rPr>
      </w:pPr>
    </w:p>
    <w:p>
      <w:pPr>
        <w:jc w:val="center"/>
        <w:rPr>
          <w:rFonts w:hint="eastAsia" w:ascii="宋体" w:hAnsi="宋体" w:eastAsia="宋体" w:cs="Times New Roman"/>
          <w:b/>
          <w:bCs/>
          <w:color w:val="auto"/>
          <w:kern w:val="0"/>
          <w:sz w:val="28"/>
          <w:szCs w:val="28"/>
          <w:highlight w:val="none"/>
          <w:lang w:val="zh-CN"/>
        </w:rPr>
      </w:pPr>
    </w:p>
    <w:p>
      <w:pPr>
        <w:jc w:val="center"/>
        <w:rPr>
          <w:rFonts w:ascii="宋体" w:hAnsi="宋体" w:eastAsia="宋体" w:cs="Times New Roman"/>
          <w:b/>
          <w:bCs/>
          <w:color w:val="auto"/>
          <w:kern w:val="0"/>
          <w:sz w:val="28"/>
          <w:szCs w:val="28"/>
          <w:highlight w:val="none"/>
          <w:lang w:val="zh-CN"/>
        </w:rPr>
      </w:pPr>
      <w:r>
        <w:rPr>
          <w:rFonts w:hint="eastAsia" w:ascii="宋体" w:hAnsi="宋体" w:eastAsia="宋体" w:cs="Times New Roman"/>
          <w:b/>
          <w:bCs/>
          <w:color w:val="auto"/>
          <w:kern w:val="0"/>
          <w:sz w:val="28"/>
          <w:szCs w:val="28"/>
          <w:highlight w:val="none"/>
          <w:lang w:val="zh-CN"/>
        </w:rPr>
        <w:t>建筑垃圾减量预估表</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eastAsia="宋体" w:cs="Times New Roman"/>
          <w:color w:val="C00000"/>
          <w:kern w:val="0"/>
          <w:sz w:val="28"/>
          <w:szCs w:val="28"/>
          <w:highlight w:val="none"/>
          <w:u w:val="wave"/>
          <w:lang w:val="zh-CN" w:eastAsia="zh-CN"/>
        </w:rPr>
      </w:pP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eastAsia="宋体" w:cs="Times New Roman"/>
          <w:color w:val="C00000"/>
          <w:kern w:val="0"/>
          <w:sz w:val="28"/>
          <w:szCs w:val="28"/>
          <w:highlight w:val="none"/>
          <w:u w:val="wave"/>
          <w:lang w:val="zh-CN" w:eastAsia="zh-CN"/>
        </w:rPr>
      </w:pPr>
    </w:p>
    <w:tbl>
      <w:tblPr>
        <w:tblStyle w:val="11"/>
        <w:tblpPr w:leftFromText="180" w:rightFromText="180" w:vertAnchor="page" w:horzAnchor="page" w:tblpX="12928" w:tblpY="2334"/>
        <w:tblOverlap w:val="never"/>
        <w:tblW w:w="96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
        <w:gridCol w:w="720"/>
        <w:gridCol w:w="2888"/>
        <w:gridCol w:w="1312"/>
        <w:gridCol w:w="1243"/>
        <w:gridCol w:w="1937"/>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0" w:type="dxa"/>
            <w:vAlign w:val="center"/>
          </w:tcPr>
          <w:p>
            <w:pPr>
              <w:jc w:val="center"/>
              <w:rPr>
                <w:rFonts w:ascii="黑体" w:hAnsi="黑体" w:eastAsia="黑体" w:cs="仿宋_GB2312"/>
                <w:sz w:val="24"/>
                <w:szCs w:val="24"/>
              </w:rPr>
            </w:pPr>
            <w:r>
              <w:rPr>
                <w:rFonts w:hint="eastAsia" w:ascii="黑体" w:hAnsi="黑体" w:eastAsia="黑体" w:cs="仿宋_GB2312"/>
                <w:sz w:val="24"/>
                <w:szCs w:val="24"/>
              </w:rPr>
              <w:t>序号</w:t>
            </w:r>
          </w:p>
        </w:tc>
        <w:tc>
          <w:tcPr>
            <w:tcW w:w="3608" w:type="dxa"/>
            <w:gridSpan w:val="2"/>
            <w:vAlign w:val="center"/>
          </w:tcPr>
          <w:p>
            <w:pPr>
              <w:jc w:val="center"/>
              <w:rPr>
                <w:rFonts w:ascii="黑体" w:hAnsi="黑体" w:eastAsia="黑体" w:cs="仿宋_GB2312"/>
                <w:sz w:val="24"/>
                <w:szCs w:val="24"/>
              </w:rPr>
            </w:pPr>
            <w:r>
              <w:rPr>
                <w:rFonts w:hint="eastAsia" w:ascii="黑体" w:hAnsi="黑体" w:eastAsia="黑体" w:cs="仿宋_GB2312"/>
                <w:sz w:val="24"/>
                <w:szCs w:val="24"/>
              </w:rPr>
              <w:t>减量化措施</w:t>
            </w:r>
          </w:p>
        </w:tc>
        <w:tc>
          <w:tcPr>
            <w:tcW w:w="1312" w:type="dxa"/>
            <w:vAlign w:val="center"/>
          </w:tcPr>
          <w:p>
            <w:pPr>
              <w:jc w:val="center"/>
              <w:rPr>
                <w:rFonts w:ascii="黑体" w:hAnsi="黑体" w:eastAsia="黑体" w:cs="仿宋_GB2312"/>
                <w:sz w:val="24"/>
                <w:szCs w:val="24"/>
              </w:rPr>
            </w:pPr>
            <w:r>
              <w:rPr>
                <w:rFonts w:hint="eastAsia" w:ascii="黑体" w:hAnsi="黑体" w:eastAsia="黑体" w:cs="仿宋_GB2312"/>
                <w:sz w:val="24"/>
                <w:szCs w:val="24"/>
              </w:rPr>
              <w:t>预估渣土</w:t>
            </w:r>
          </w:p>
          <w:p>
            <w:pPr>
              <w:jc w:val="center"/>
              <w:rPr>
                <w:rFonts w:ascii="黑体" w:hAnsi="黑体" w:eastAsia="黑体" w:cs="仿宋_GB2312"/>
                <w:sz w:val="24"/>
                <w:szCs w:val="24"/>
              </w:rPr>
            </w:pPr>
            <w:r>
              <w:rPr>
                <w:rFonts w:hint="eastAsia" w:ascii="黑体" w:hAnsi="黑体" w:eastAsia="黑体" w:cs="仿宋_GB2312"/>
                <w:sz w:val="24"/>
                <w:szCs w:val="24"/>
              </w:rPr>
              <w:t>减少量（吨）</w:t>
            </w:r>
          </w:p>
        </w:tc>
        <w:tc>
          <w:tcPr>
            <w:tcW w:w="1243" w:type="dxa"/>
            <w:vAlign w:val="center"/>
          </w:tcPr>
          <w:p>
            <w:pPr>
              <w:jc w:val="center"/>
              <w:rPr>
                <w:rFonts w:ascii="黑体" w:hAnsi="黑体" w:eastAsia="黑体" w:cs="仿宋_GB2312"/>
                <w:sz w:val="24"/>
                <w:szCs w:val="24"/>
              </w:rPr>
            </w:pPr>
            <w:r>
              <w:rPr>
                <w:rFonts w:hint="eastAsia" w:ascii="黑体" w:hAnsi="黑体" w:eastAsia="黑体" w:cs="仿宋_GB2312"/>
                <w:sz w:val="24"/>
                <w:szCs w:val="24"/>
              </w:rPr>
              <w:t>预估泥浆</w:t>
            </w:r>
          </w:p>
          <w:p>
            <w:pPr>
              <w:jc w:val="center"/>
              <w:rPr>
                <w:rFonts w:ascii="黑体" w:hAnsi="黑体" w:eastAsia="黑体" w:cs="仿宋_GB2312"/>
                <w:sz w:val="24"/>
                <w:szCs w:val="24"/>
              </w:rPr>
            </w:pPr>
            <w:r>
              <w:rPr>
                <w:rFonts w:hint="eastAsia" w:ascii="黑体" w:hAnsi="黑体" w:eastAsia="黑体" w:cs="仿宋_GB2312"/>
                <w:sz w:val="24"/>
                <w:szCs w:val="24"/>
              </w:rPr>
              <w:t>减少量（吨）</w:t>
            </w:r>
          </w:p>
        </w:tc>
        <w:tc>
          <w:tcPr>
            <w:tcW w:w="1937" w:type="dxa"/>
            <w:vAlign w:val="center"/>
          </w:tcPr>
          <w:p>
            <w:pPr>
              <w:jc w:val="center"/>
              <w:rPr>
                <w:rFonts w:ascii="黑体" w:hAnsi="黑体" w:eastAsia="黑体" w:cs="仿宋_GB2312"/>
                <w:sz w:val="24"/>
                <w:szCs w:val="24"/>
              </w:rPr>
            </w:pPr>
            <w:r>
              <w:rPr>
                <w:rFonts w:hint="eastAsia" w:ascii="黑体" w:hAnsi="黑体" w:eastAsia="黑体" w:cs="仿宋_GB2312"/>
                <w:sz w:val="24"/>
                <w:szCs w:val="24"/>
              </w:rPr>
              <w:t>预估工程垃圾减少量（除渣土、泥浆外）（吨）</w:t>
            </w:r>
          </w:p>
        </w:tc>
        <w:tc>
          <w:tcPr>
            <w:tcW w:w="1192" w:type="dxa"/>
            <w:vAlign w:val="center"/>
          </w:tcPr>
          <w:p>
            <w:pPr>
              <w:jc w:val="center"/>
              <w:rPr>
                <w:rFonts w:ascii="黑体" w:hAnsi="黑体" w:eastAsia="黑体" w:cs="仿宋_GB2312"/>
                <w:sz w:val="24"/>
                <w:szCs w:val="24"/>
              </w:rPr>
            </w:pPr>
            <w:r>
              <w:rPr>
                <w:rFonts w:hint="eastAsia" w:ascii="黑体" w:hAnsi="黑体" w:eastAsia="黑体" w:cs="仿宋_GB2312"/>
                <w:sz w:val="24"/>
                <w:szCs w:val="24"/>
              </w:rPr>
              <w:t>合计（吨）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720" w:type="dxa"/>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场内土方平衡</w:t>
            </w:r>
          </w:p>
        </w:tc>
        <w:tc>
          <w:tcPr>
            <w:tcW w:w="2888" w:type="dxa"/>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开展土方平衡计算，实现场内平衡</w:t>
            </w:r>
          </w:p>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color w:val="C00000"/>
                <w:kern w:val="0"/>
                <w:sz w:val="24"/>
                <w:szCs w:val="24"/>
                <w:highlight w:val="none"/>
                <w:u w:val="wave"/>
                <w:lang w:val="en-US" w:eastAsia="zh-CN"/>
              </w:rPr>
              <w:t>（示例）</w:t>
            </w:r>
          </w:p>
        </w:tc>
        <w:tc>
          <w:tcPr>
            <w:tcW w:w="1312"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10000</w:t>
            </w:r>
          </w:p>
        </w:tc>
        <w:tc>
          <w:tcPr>
            <w:tcW w:w="1243" w:type="dxa"/>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w:t>
            </w:r>
          </w:p>
        </w:tc>
        <w:tc>
          <w:tcPr>
            <w:tcW w:w="1937" w:type="dxa"/>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w:t>
            </w:r>
          </w:p>
        </w:tc>
        <w:tc>
          <w:tcPr>
            <w:tcW w:w="1192"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720" w:type="dxa"/>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装配式建筑</w:t>
            </w:r>
          </w:p>
        </w:tc>
        <w:tc>
          <w:tcPr>
            <w:tcW w:w="2888" w:type="dxa"/>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应用装配式建造</w:t>
            </w:r>
          </w:p>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color w:val="C00000"/>
                <w:kern w:val="0"/>
                <w:sz w:val="24"/>
                <w:szCs w:val="24"/>
                <w:highlight w:val="none"/>
                <w:u w:val="wave"/>
                <w:lang w:val="en-US" w:eastAsia="zh-CN"/>
              </w:rPr>
              <w:t>（示例）</w:t>
            </w:r>
          </w:p>
        </w:tc>
        <w:tc>
          <w:tcPr>
            <w:tcW w:w="1312"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6000</w:t>
            </w:r>
          </w:p>
        </w:tc>
        <w:tc>
          <w:tcPr>
            <w:tcW w:w="1243" w:type="dxa"/>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w:t>
            </w:r>
          </w:p>
        </w:tc>
        <w:tc>
          <w:tcPr>
            <w:tcW w:w="1937"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w:t>
            </w:r>
          </w:p>
        </w:tc>
        <w:tc>
          <w:tcPr>
            <w:tcW w:w="1192"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720" w:type="dxa"/>
            <w:vMerge w:val="restart"/>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围护设计</w:t>
            </w:r>
          </w:p>
        </w:tc>
        <w:tc>
          <w:tcPr>
            <w:tcW w:w="2888" w:type="dxa"/>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基坑采用垂直支护</w:t>
            </w:r>
            <w:r>
              <w:rPr>
                <w:rFonts w:hint="eastAsia" w:ascii="方正仿宋_GB2312" w:hAnsi="方正仿宋_GB2312" w:eastAsia="方正仿宋_GB2312" w:cs="方正仿宋_GB2312"/>
                <w:color w:val="C00000"/>
                <w:kern w:val="0"/>
                <w:sz w:val="24"/>
                <w:szCs w:val="24"/>
                <w:highlight w:val="none"/>
                <w:u w:val="wave"/>
                <w:lang w:val="en-US" w:eastAsia="zh-CN"/>
              </w:rPr>
              <w:t>（示例）</w:t>
            </w:r>
          </w:p>
        </w:tc>
        <w:tc>
          <w:tcPr>
            <w:tcW w:w="1312"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1000</w:t>
            </w:r>
          </w:p>
        </w:tc>
        <w:tc>
          <w:tcPr>
            <w:tcW w:w="1243"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w:t>
            </w:r>
          </w:p>
        </w:tc>
        <w:tc>
          <w:tcPr>
            <w:tcW w:w="1937"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w:t>
            </w:r>
          </w:p>
        </w:tc>
        <w:tc>
          <w:tcPr>
            <w:tcW w:w="1192"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dxa"/>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w:t>
            </w:r>
          </w:p>
        </w:tc>
        <w:tc>
          <w:tcPr>
            <w:tcW w:w="720" w:type="dxa"/>
            <w:vMerge w:val="continue"/>
            <w:vAlign w:val="center"/>
          </w:tcPr>
          <w:p>
            <w:pPr>
              <w:jc w:val="center"/>
              <w:rPr>
                <w:rFonts w:hint="eastAsia" w:ascii="仿宋_GB2312" w:hAnsi="仿宋_GB2312" w:eastAsia="仿宋_GB2312" w:cs="仿宋_GB2312"/>
                <w:sz w:val="24"/>
                <w:szCs w:val="24"/>
              </w:rPr>
            </w:pPr>
          </w:p>
        </w:tc>
        <w:tc>
          <w:tcPr>
            <w:tcW w:w="2888" w:type="dxa"/>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内支撑采用钢支撑形式</w:t>
            </w:r>
            <w:r>
              <w:rPr>
                <w:rFonts w:hint="eastAsia" w:ascii="方正仿宋_GB2312" w:hAnsi="方正仿宋_GB2312" w:eastAsia="方正仿宋_GB2312" w:cs="方正仿宋_GB2312"/>
                <w:color w:val="C00000"/>
                <w:kern w:val="0"/>
                <w:sz w:val="24"/>
                <w:szCs w:val="24"/>
                <w:highlight w:val="none"/>
                <w:u w:val="wave"/>
                <w:lang w:val="en-US" w:eastAsia="zh-CN"/>
              </w:rPr>
              <w:t>（示例）</w:t>
            </w:r>
          </w:p>
        </w:tc>
        <w:tc>
          <w:tcPr>
            <w:tcW w:w="1312" w:type="dxa"/>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lang w:val="en-US" w:eastAsia="zh-CN"/>
              </w:rPr>
              <w:t>-</w:t>
            </w:r>
          </w:p>
        </w:tc>
        <w:tc>
          <w:tcPr>
            <w:tcW w:w="1243" w:type="dxa"/>
            <w:shd w:val="clear" w:color="auto" w:fill="auto"/>
            <w:vAlign w:val="center"/>
          </w:tcPr>
          <w:p>
            <w:pPr>
              <w:jc w:val="center"/>
              <w:rPr>
                <w:rFonts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lang w:val="en-US" w:eastAsia="zh-CN"/>
              </w:rPr>
              <w:t>-</w:t>
            </w:r>
          </w:p>
        </w:tc>
        <w:tc>
          <w:tcPr>
            <w:tcW w:w="1937" w:type="dxa"/>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lang w:val="en-US" w:eastAsia="zh-CN"/>
              </w:rPr>
              <w:t>100</w:t>
            </w:r>
          </w:p>
        </w:tc>
        <w:tc>
          <w:tcPr>
            <w:tcW w:w="1192" w:type="dxa"/>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dxa"/>
            <w:vAlign w:val="center"/>
          </w:tcPr>
          <w:p>
            <w:pPr>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5</w:t>
            </w:r>
          </w:p>
        </w:tc>
        <w:tc>
          <w:tcPr>
            <w:tcW w:w="720" w:type="dxa"/>
            <w:vMerge w:val="continue"/>
            <w:vAlign w:val="center"/>
          </w:tcPr>
          <w:p>
            <w:pPr>
              <w:jc w:val="center"/>
              <w:rPr>
                <w:rFonts w:hint="eastAsia" w:ascii="仿宋_GB2312" w:hAnsi="仿宋_GB2312" w:eastAsia="仿宋_GB2312" w:cs="仿宋_GB2312"/>
                <w:sz w:val="24"/>
                <w:szCs w:val="24"/>
              </w:rPr>
            </w:pPr>
          </w:p>
        </w:tc>
        <w:tc>
          <w:tcPr>
            <w:tcW w:w="2888" w:type="dxa"/>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基坑围护采用地下连续墙“两墙合一”</w:t>
            </w:r>
            <w:r>
              <w:rPr>
                <w:rFonts w:hint="eastAsia" w:ascii="方正仿宋_GB2312" w:hAnsi="方正仿宋_GB2312" w:eastAsia="方正仿宋_GB2312" w:cs="方正仿宋_GB2312"/>
                <w:color w:val="C00000"/>
                <w:kern w:val="0"/>
                <w:sz w:val="24"/>
                <w:szCs w:val="24"/>
                <w:highlight w:val="none"/>
                <w:u w:val="wave"/>
                <w:lang w:val="en-US" w:eastAsia="zh-CN"/>
              </w:rPr>
              <w:t>（示例）</w:t>
            </w:r>
          </w:p>
        </w:tc>
        <w:tc>
          <w:tcPr>
            <w:tcW w:w="1312"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w:t>
            </w:r>
          </w:p>
        </w:tc>
        <w:tc>
          <w:tcPr>
            <w:tcW w:w="1243"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1000</w:t>
            </w:r>
          </w:p>
        </w:tc>
        <w:tc>
          <w:tcPr>
            <w:tcW w:w="1937"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w:t>
            </w:r>
          </w:p>
        </w:tc>
        <w:tc>
          <w:tcPr>
            <w:tcW w:w="1192" w:type="dxa"/>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dxa"/>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w:t>
            </w:r>
          </w:p>
        </w:tc>
        <w:tc>
          <w:tcPr>
            <w:tcW w:w="720" w:type="dxa"/>
            <w:vMerge w:val="restart"/>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基础设计</w:t>
            </w:r>
          </w:p>
        </w:tc>
        <w:tc>
          <w:tcPr>
            <w:tcW w:w="2888" w:type="dxa"/>
            <w:vAlign w:val="center"/>
          </w:tcPr>
          <w:p>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采用预制桩、根植桩等新型桩型</w:t>
            </w:r>
            <w:r>
              <w:rPr>
                <w:rFonts w:hint="eastAsia" w:ascii="方正仿宋_GB2312" w:hAnsi="方正仿宋_GB2312" w:eastAsia="方正仿宋_GB2312" w:cs="方正仿宋_GB2312"/>
                <w:color w:val="C00000"/>
                <w:kern w:val="0"/>
                <w:sz w:val="24"/>
                <w:szCs w:val="24"/>
                <w:highlight w:val="none"/>
                <w:u w:val="wave"/>
                <w:lang w:val="en-US" w:eastAsia="zh-CN"/>
              </w:rPr>
              <w:t>（示例）</w:t>
            </w:r>
          </w:p>
        </w:tc>
        <w:tc>
          <w:tcPr>
            <w:tcW w:w="1312" w:type="dxa"/>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w:t>
            </w:r>
          </w:p>
        </w:tc>
        <w:tc>
          <w:tcPr>
            <w:tcW w:w="1243" w:type="dxa"/>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w:t>
            </w:r>
          </w:p>
        </w:tc>
        <w:tc>
          <w:tcPr>
            <w:tcW w:w="1937" w:type="dxa"/>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w:t>
            </w:r>
          </w:p>
        </w:tc>
        <w:tc>
          <w:tcPr>
            <w:tcW w:w="1192" w:type="dxa"/>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dxa"/>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w:t>
            </w:r>
          </w:p>
        </w:tc>
        <w:tc>
          <w:tcPr>
            <w:tcW w:w="720" w:type="dxa"/>
            <w:vMerge w:val="continue"/>
            <w:vAlign w:val="center"/>
          </w:tcPr>
          <w:p>
            <w:pPr>
              <w:jc w:val="center"/>
              <w:rPr>
                <w:rFonts w:hint="eastAsia" w:ascii="仿宋_GB2312" w:hAnsi="仿宋_GB2312" w:eastAsia="仿宋_GB2312" w:cs="仿宋_GB2312"/>
                <w:sz w:val="24"/>
                <w:szCs w:val="24"/>
                <w:lang w:val="en-US" w:eastAsia="zh-CN"/>
              </w:rPr>
            </w:pPr>
          </w:p>
        </w:tc>
        <w:tc>
          <w:tcPr>
            <w:tcW w:w="2888" w:type="dxa"/>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优化地下室结构，调整地下室埋深等</w:t>
            </w:r>
            <w:r>
              <w:rPr>
                <w:rFonts w:hint="eastAsia" w:ascii="方正仿宋_GB2312" w:hAnsi="方正仿宋_GB2312" w:eastAsia="方正仿宋_GB2312" w:cs="方正仿宋_GB2312"/>
                <w:color w:val="C00000"/>
                <w:kern w:val="0"/>
                <w:sz w:val="24"/>
                <w:szCs w:val="24"/>
                <w:highlight w:val="none"/>
                <w:u w:val="wave"/>
                <w:lang w:val="en-US" w:eastAsia="zh-CN"/>
              </w:rPr>
              <w:t>（示例）</w:t>
            </w:r>
          </w:p>
        </w:tc>
        <w:tc>
          <w:tcPr>
            <w:tcW w:w="1312" w:type="dxa"/>
            <w:vAlign w:val="center"/>
          </w:tcPr>
          <w:p>
            <w:pPr>
              <w:jc w:val="center"/>
              <w:rPr>
                <w:rFonts w:hint="eastAsia" w:ascii="仿宋_GB2312" w:hAnsi="仿宋_GB2312" w:eastAsia="仿宋_GB2312" w:cs="仿宋_GB2312"/>
                <w:sz w:val="24"/>
                <w:szCs w:val="24"/>
              </w:rPr>
            </w:pPr>
          </w:p>
        </w:tc>
        <w:tc>
          <w:tcPr>
            <w:tcW w:w="1243" w:type="dxa"/>
            <w:vAlign w:val="center"/>
          </w:tcPr>
          <w:p>
            <w:pPr>
              <w:jc w:val="center"/>
              <w:rPr>
                <w:rFonts w:hint="eastAsia" w:ascii="仿宋_GB2312" w:hAnsi="仿宋_GB2312" w:eastAsia="仿宋_GB2312" w:cs="仿宋_GB2312"/>
                <w:sz w:val="24"/>
                <w:szCs w:val="24"/>
              </w:rPr>
            </w:pPr>
          </w:p>
        </w:tc>
        <w:tc>
          <w:tcPr>
            <w:tcW w:w="1937" w:type="dxa"/>
            <w:vAlign w:val="center"/>
          </w:tcPr>
          <w:p>
            <w:pPr>
              <w:jc w:val="center"/>
              <w:rPr>
                <w:rFonts w:hint="eastAsia" w:ascii="仿宋_GB2312" w:hAnsi="仿宋_GB2312" w:eastAsia="仿宋_GB2312" w:cs="仿宋_GB2312"/>
                <w:sz w:val="24"/>
                <w:szCs w:val="24"/>
              </w:rPr>
            </w:pPr>
          </w:p>
        </w:tc>
        <w:tc>
          <w:tcPr>
            <w:tcW w:w="1192" w:type="dxa"/>
            <w:vAlign w:val="center"/>
          </w:tcPr>
          <w:p>
            <w:pPr>
              <w:jc w:val="cente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dxa"/>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w:t>
            </w:r>
          </w:p>
        </w:tc>
        <w:tc>
          <w:tcPr>
            <w:tcW w:w="720" w:type="dxa"/>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新型材料应用</w:t>
            </w:r>
          </w:p>
        </w:tc>
        <w:tc>
          <w:tcPr>
            <w:tcW w:w="2888" w:type="dxa"/>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应用综合利用产品或其他新型材料，减少土方开挖</w:t>
            </w:r>
            <w:r>
              <w:rPr>
                <w:rFonts w:hint="eastAsia" w:ascii="方正仿宋_GB2312" w:hAnsi="方正仿宋_GB2312" w:eastAsia="方正仿宋_GB2312" w:cs="方正仿宋_GB2312"/>
                <w:color w:val="C00000"/>
                <w:kern w:val="0"/>
                <w:sz w:val="24"/>
                <w:szCs w:val="24"/>
                <w:highlight w:val="none"/>
                <w:u w:val="wave"/>
                <w:lang w:val="en-US" w:eastAsia="zh-CN"/>
              </w:rPr>
              <w:t>（示例）</w:t>
            </w:r>
          </w:p>
        </w:tc>
        <w:tc>
          <w:tcPr>
            <w:tcW w:w="1312" w:type="dxa"/>
            <w:vAlign w:val="center"/>
          </w:tcPr>
          <w:p>
            <w:pPr>
              <w:jc w:val="center"/>
              <w:rPr>
                <w:rFonts w:hint="eastAsia" w:ascii="仿宋_GB2312" w:hAnsi="仿宋_GB2312" w:eastAsia="仿宋_GB2312" w:cs="仿宋_GB2312"/>
                <w:sz w:val="24"/>
                <w:szCs w:val="24"/>
              </w:rPr>
            </w:pPr>
          </w:p>
        </w:tc>
        <w:tc>
          <w:tcPr>
            <w:tcW w:w="1243" w:type="dxa"/>
            <w:vAlign w:val="center"/>
          </w:tcPr>
          <w:p>
            <w:pPr>
              <w:jc w:val="center"/>
              <w:rPr>
                <w:rFonts w:hint="eastAsia" w:ascii="仿宋_GB2312" w:hAnsi="仿宋_GB2312" w:eastAsia="仿宋_GB2312" w:cs="仿宋_GB2312"/>
                <w:sz w:val="24"/>
                <w:szCs w:val="24"/>
              </w:rPr>
            </w:pPr>
          </w:p>
        </w:tc>
        <w:tc>
          <w:tcPr>
            <w:tcW w:w="1937" w:type="dxa"/>
            <w:vAlign w:val="center"/>
          </w:tcPr>
          <w:p>
            <w:pPr>
              <w:jc w:val="center"/>
              <w:rPr>
                <w:rFonts w:hint="eastAsia" w:ascii="仿宋_GB2312" w:hAnsi="仿宋_GB2312" w:eastAsia="仿宋_GB2312" w:cs="仿宋_GB2312"/>
                <w:sz w:val="24"/>
                <w:szCs w:val="24"/>
              </w:rPr>
            </w:pPr>
          </w:p>
        </w:tc>
        <w:tc>
          <w:tcPr>
            <w:tcW w:w="1192" w:type="dxa"/>
            <w:vAlign w:val="center"/>
          </w:tcPr>
          <w:p>
            <w:pPr>
              <w:jc w:val="center"/>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0" w:type="dxa"/>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w:t>
            </w:r>
          </w:p>
        </w:tc>
        <w:tc>
          <w:tcPr>
            <w:tcW w:w="720" w:type="dxa"/>
            <w:vAlign w:val="center"/>
          </w:tcPr>
          <w:p>
            <w:pPr>
              <w:jc w:val="center"/>
              <w:rPr>
                <w:rFonts w:hint="eastAsia" w:ascii="仿宋_GB2312" w:hAnsi="仿宋_GB2312" w:eastAsia="仿宋_GB2312" w:cs="仿宋_GB2312"/>
                <w:sz w:val="24"/>
                <w:szCs w:val="24"/>
                <w:lang w:val="en-US" w:eastAsia="zh-CN"/>
              </w:rPr>
            </w:pPr>
          </w:p>
        </w:tc>
        <w:tc>
          <w:tcPr>
            <w:tcW w:w="2888" w:type="dxa"/>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新增项</w:t>
            </w:r>
          </w:p>
        </w:tc>
        <w:tc>
          <w:tcPr>
            <w:tcW w:w="1312" w:type="dxa"/>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w:t>
            </w:r>
          </w:p>
        </w:tc>
        <w:tc>
          <w:tcPr>
            <w:tcW w:w="1243" w:type="dxa"/>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w:t>
            </w:r>
          </w:p>
        </w:tc>
        <w:tc>
          <w:tcPr>
            <w:tcW w:w="1937" w:type="dxa"/>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w:t>
            </w:r>
          </w:p>
        </w:tc>
        <w:tc>
          <w:tcPr>
            <w:tcW w:w="1192" w:type="dxa"/>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w:t>
            </w:r>
          </w:p>
        </w:tc>
      </w:tr>
    </w:tbl>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textAlignment w:val="auto"/>
        <w:rPr>
          <w:rFonts w:hint="default" w:ascii="宋体" w:hAnsi="宋体" w:eastAsia="宋体" w:cs="Times New Roman"/>
          <w:b/>
          <w:color w:val="auto"/>
          <w:kern w:val="0"/>
          <w:sz w:val="28"/>
          <w:szCs w:val="28"/>
          <w:highlight w:val="none"/>
          <w:lang w:val="en-US" w:eastAsia="zh-CN"/>
        </w:rPr>
      </w:pP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562" w:firstLineChars="200"/>
        <w:textAlignment w:val="auto"/>
        <w:outlineLvl w:val="1"/>
        <w:rPr>
          <w:rFonts w:hint="default" w:ascii="宋体" w:hAnsi="宋体" w:eastAsia="宋体" w:cs="Times New Roman"/>
          <w:b/>
          <w:color w:val="auto"/>
          <w:kern w:val="0"/>
          <w:sz w:val="28"/>
          <w:szCs w:val="28"/>
          <w:highlight w:val="none"/>
          <w:lang w:val="en-US" w:eastAsia="zh-CN"/>
        </w:rPr>
      </w:pPr>
      <w:r>
        <w:rPr>
          <w:rFonts w:hint="eastAsia" w:ascii="宋体" w:hAnsi="宋体" w:eastAsia="宋体" w:cs="Times New Roman"/>
          <w:b/>
          <w:color w:val="auto"/>
          <w:kern w:val="0"/>
          <w:sz w:val="28"/>
          <w:szCs w:val="28"/>
          <w:highlight w:val="none"/>
          <w:lang w:val="en-US" w:eastAsia="zh-CN"/>
        </w:rPr>
        <w:t>建筑垃圾减量化结论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lang w:val="en-US" w:eastAsia="zh-CN"/>
        </w:rPr>
      </w:pPr>
      <w:r>
        <w:rPr>
          <w:rFonts w:hint="eastAsia" w:ascii="宋体" w:hAnsi="宋体" w:eastAsia="宋体" w:cs="Times New Roman"/>
          <w:color w:val="auto"/>
          <w:kern w:val="0"/>
          <w:sz w:val="28"/>
          <w:szCs w:val="28"/>
          <w:highlight w:val="none"/>
          <w:lang w:val="en-US" w:eastAsia="zh-CN"/>
        </w:rPr>
        <w:t>根据《土方平衡专项论证报告》，结合前述减量化措施与预期成效，本项目总建筑面积___平方米，本项目预估建筑垃圾总量（A）约___吨，减量化约为（B）____吨，排放量下降</w:t>
      </w:r>
      <w:r>
        <w:rPr>
          <w:rFonts w:hint="eastAsia" w:ascii="宋体" w:hAnsi="宋体" w:eastAsia="宋体" w:cs="Times New Roman"/>
          <w:color w:val="auto"/>
          <w:kern w:val="0"/>
          <w:sz w:val="28"/>
          <w:szCs w:val="28"/>
          <w:highlight w:val="none"/>
          <w:u w:val="single"/>
          <w:lang w:val="en-US" w:eastAsia="zh-CN"/>
        </w:rPr>
        <w:t xml:space="preserve">     </w:t>
      </w:r>
      <w:r>
        <w:rPr>
          <w:rFonts w:hint="eastAsia" w:ascii="宋体" w:hAnsi="宋体" w:eastAsia="宋体" w:cs="Times New Roman"/>
          <w:color w:val="auto"/>
          <w:kern w:val="0"/>
          <w:sz w:val="28"/>
          <w:szCs w:val="28"/>
          <w:highlight w:val="none"/>
          <w:lang w:val="en-US" w:eastAsia="zh-CN"/>
        </w:rPr>
        <w:t>%（计算公式为B/(A+B）*100%）。其中，建筑垃圾减量预估(不包括工程渣土、工程泥浆)约___吨 ，每万平方米减量约___吨；本项目预估工程渣土、工程泥浆排放量___吨。通过减排措施有效减少工程渣土、工程泥浆排放量___吨。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default" w:ascii="宋体" w:hAnsi="宋体" w:eastAsia="宋体" w:cs="Times New Roman"/>
          <w:color w:val="auto"/>
          <w:kern w:val="0"/>
          <w:sz w:val="28"/>
          <w:szCs w:val="28"/>
          <w:highlight w:val="none"/>
          <w:lang w:val="en-US" w:eastAsia="zh-CN"/>
        </w:rPr>
      </w:pPr>
      <w:r>
        <w:rPr>
          <w:rFonts w:hint="eastAsia" w:ascii="宋体" w:hAnsi="宋体" w:eastAsia="宋体" w:cs="Times New Roman"/>
          <w:color w:val="auto"/>
          <w:kern w:val="0"/>
          <w:sz w:val="28"/>
          <w:szCs w:val="28"/>
          <w:highlight w:val="none"/>
          <w:lang w:val="en-US" w:eastAsia="zh-CN"/>
        </w:rPr>
        <w:t>根据前述情况，达到减量化目标，满足“工程渣土、工程泥浆排放量较估算值下降3%”的要求。</w:t>
      </w:r>
      <w:r>
        <w:rPr>
          <w:rFonts w:hint="eastAsia" w:ascii="宋体" w:hAnsi="宋体" w:eastAsia="宋体" w:cs="Times New Roman"/>
          <w:color w:val="C00000"/>
          <w:kern w:val="0"/>
          <w:sz w:val="28"/>
          <w:szCs w:val="28"/>
          <w:highlight w:val="none"/>
          <w:u w:val="wave"/>
          <w:lang w:val="en-US" w:eastAsia="zh-CN"/>
        </w:rPr>
        <w:t>（如不能满足，应充分说明客观原因）</w:t>
      </w:r>
    </w:p>
    <w:p>
      <w:pPr>
        <w:keepNext w:val="0"/>
        <w:keepLines w:val="0"/>
        <w:pageBreakBefore w:val="0"/>
        <w:widowControl w:val="0"/>
        <w:numPr>
          <w:ilvl w:val="0"/>
          <w:numId w:val="1"/>
        </w:numPr>
        <w:kinsoku/>
        <w:wordWrap/>
        <w:overflowPunct/>
        <w:topLinePunct w:val="0"/>
        <w:autoSpaceDE w:val="0"/>
        <w:autoSpaceDN w:val="0"/>
        <w:bidi w:val="0"/>
        <w:adjustRightInd w:val="0"/>
        <w:snapToGrid w:val="0"/>
        <w:spacing w:line="360" w:lineRule="auto"/>
        <w:ind w:firstLine="562" w:firstLineChars="200"/>
        <w:textAlignment w:val="auto"/>
        <w:outlineLvl w:val="1"/>
        <w:rPr>
          <w:rFonts w:hint="default" w:ascii="宋体" w:hAnsi="宋体" w:eastAsia="宋体" w:cs="Times New Roman"/>
          <w:b/>
          <w:color w:val="auto"/>
          <w:kern w:val="0"/>
          <w:sz w:val="28"/>
          <w:szCs w:val="28"/>
          <w:highlight w:val="none"/>
          <w:lang w:val="en-US" w:eastAsia="zh-CN"/>
        </w:rPr>
      </w:pPr>
      <w:r>
        <w:rPr>
          <w:rFonts w:hint="eastAsia" w:ascii="宋体" w:hAnsi="宋体" w:eastAsia="宋体" w:cs="Times New Roman"/>
          <w:b/>
          <w:color w:val="auto"/>
          <w:kern w:val="0"/>
          <w:sz w:val="28"/>
          <w:szCs w:val="28"/>
          <w:highlight w:val="none"/>
          <w:lang w:val="zh-CN" w:eastAsia="zh-CN"/>
        </w:rPr>
        <w:t>施工阶段落实要求</w:t>
      </w:r>
      <w:r>
        <w:rPr>
          <w:rFonts w:hint="eastAsia" w:ascii="宋体" w:hAnsi="宋体" w:eastAsia="宋体" w:cs="Times New Roman"/>
          <w:color w:val="C00000"/>
          <w:kern w:val="0"/>
          <w:sz w:val="28"/>
          <w:szCs w:val="28"/>
          <w:highlight w:val="none"/>
          <w:u w:val="wave"/>
          <w:lang w:val="zh-CN" w:eastAsia="zh-CN"/>
        </w:rPr>
        <w:t>（</w:t>
      </w:r>
      <w:r>
        <w:rPr>
          <w:rFonts w:hint="eastAsia" w:ascii="宋体" w:hAnsi="宋体" w:eastAsia="宋体" w:cs="Times New Roman"/>
          <w:color w:val="C00000"/>
          <w:kern w:val="0"/>
          <w:sz w:val="28"/>
          <w:szCs w:val="28"/>
          <w:highlight w:val="none"/>
          <w:u w:val="wave"/>
          <w:lang w:val="en-US" w:eastAsia="zh-CN"/>
        </w:rPr>
        <w:t>施工图设计阶段落实，初步设计阶段不适用）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Chars="0" w:firstLine="560" w:firstLineChars="200"/>
        <w:jc w:val="both"/>
        <w:textAlignment w:val="auto"/>
        <w:rPr>
          <w:rFonts w:hint="eastAsia"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zh-CN"/>
        </w:rPr>
        <w:t>施工单位应编制建筑垃圾处理方案并报环境卫生主管部门备案，方案内容应包含建筑垃圾源头减量措施，确定减量化目标，明确职责分工。应按照源头减量的要求，优化施工方案，结合BIM、物联网、智慧工地管理平台等信息化技术，建立健全建筑垃圾减量化管理体系，落实建筑垃圾减量化专项方案。</w:t>
      </w:r>
    </w:p>
    <w:p>
      <w:pPr>
        <w:keepNext w:val="0"/>
        <w:keepLines w:val="0"/>
        <w:pageBreakBefore w:val="0"/>
        <w:widowControl w:val="0"/>
        <w:kinsoku/>
        <w:wordWrap/>
        <w:overflowPunct/>
        <w:topLinePunct w:val="0"/>
        <w:autoSpaceDE w:val="0"/>
        <w:autoSpaceDN w:val="0"/>
        <w:bidi w:val="0"/>
        <w:adjustRightInd w:val="0"/>
        <w:snapToGrid w:val="0"/>
        <w:spacing w:line="360" w:lineRule="auto"/>
        <w:ind w:leftChars="0" w:firstLine="560" w:firstLineChars="200"/>
        <w:jc w:val="both"/>
        <w:textAlignment w:val="auto"/>
        <w:rPr>
          <w:rFonts w:hint="eastAsia"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zh-CN"/>
        </w:rPr>
        <w:t>1.进行施工方案深化：施工单位应在不降低设计标准、不影响设计功能的前提下，与设计单位充分沟通，深化设计，优化施工方案，合理确定施工工序，推动建筑信息模型（BIM）技术在工程施工中的应用，实现精细化管理，避免或减少施工过程中建筑垃圾的产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Chars="0" w:firstLine="560" w:firstLineChars="200"/>
        <w:jc w:val="both"/>
        <w:textAlignment w:val="auto"/>
        <w:rPr>
          <w:rFonts w:hint="eastAsia"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zh-CN"/>
        </w:rPr>
        <w:t>2.区域协同基础设施布局：根据场地周边道路网以及具备重型车辆通行条件，鼓励与相邻建设项目共建共享临时出入口、施工便道、堆存场地，集约使用临时用地，减少临时设施建设与拆除产生的建筑垃圾。</w:t>
      </w:r>
    </w:p>
    <w:p>
      <w:pPr>
        <w:keepNext w:val="0"/>
        <w:keepLines w:val="0"/>
        <w:pageBreakBefore w:val="0"/>
        <w:widowControl w:val="0"/>
        <w:kinsoku/>
        <w:wordWrap/>
        <w:overflowPunct/>
        <w:topLinePunct w:val="0"/>
        <w:autoSpaceDE w:val="0"/>
        <w:autoSpaceDN w:val="0"/>
        <w:bidi w:val="0"/>
        <w:adjustRightInd w:val="0"/>
        <w:snapToGrid w:val="0"/>
        <w:spacing w:line="360" w:lineRule="auto"/>
        <w:ind w:leftChars="0" w:firstLine="560" w:firstLineChars="200"/>
        <w:jc w:val="both"/>
        <w:textAlignment w:val="auto"/>
        <w:rPr>
          <w:rFonts w:hint="eastAsia"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zh-CN"/>
        </w:rPr>
        <w:t>3.优化施工工艺：施工现场应采取永临结合、临时设施和周转材料重复利用等措施，减少建筑垃圾的产生。鼓励采用现场泥沙分离、泥浆脱水预处理等工艺，减少工程渣土和工程泥浆的产生。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Chars="0" w:firstLine="560" w:firstLineChars="200"/>
        <w:jc w:val="both"/>
        <w:textAlignment w:val="auto"/>
        <w:rPr>
          <w:rFonts w:hint="eastAsia"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zh-CN"/>
        </w:rPr>
        <w:t>4.加强现场管理：施工单位应加强对施工现场的管理力度，加强对装卸、运输、储存、采购以及施工过程中的材料管理，选择合适的材料储存地点；做好施工过程中各分部分项工程的质量预检及隐蔽验收工作，减少因质量问题导致返工或修补；在成本、资源及施工现场空间满足条件的情况下，采用适当方式对产生的建筑垃圾进行现场分拣，以减少填埋的建筑垃圾数量。</w:t>
      </w:r>
    </w:p>
    <w:p>
      <w:pPr>
        <w:keepNext w:val="0"/>
        <w:keepLines w:val="0"/>
        <w:pageBreakBefore w:val="0"/>
        <w:widowControl w:val="0"/>
        <w:kinsoku/>
        <w:wordWrap/>
        <w:overflowPunct/>
        <w:topLinePunct w:val="0"/>
        <w:autoSpaceDE w:val="0"/>
        <w:autoSpaceDN w:val="0"/>
        <w:bidi w:val="0"/>
        <w:adjustRightInd w:val="0"/>
        <w:snapToGrid w:val="0"/>
        <w:spacing w:line="360" w:lineRule="auto"/>
        <w:ind w:leftChars="0" w:firstLine="560" w:firstLineChars="200"/>
        <w:jc w:val="both"/>
        <w:textAlignment w:val="auto"/>
        <w:rPr>
          <w:rFonts w:hint="eastAsia"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zh-CN"/>
        </w:rPr>
        <w:t>5.实行分类收集：施工单位以末端处置为导向对建筑垃圾进行细化分类，建立建筑垃圾分类收集与存放管理制度，细化明确建筑垃圾的分时段、分部位、分种类收集存放的要求，建立建筑垃圾分类收集管理台账。</w:t>
      </w:r>
    </w:p>
    <w:p>
      <w:pPr>
        <w:keepNext w:val="0"/>
        <w:keepLines w:val="0"/>
        <w:pageBreakBefore w:val="0"/>
        <w:widowControl w:val="0"/>
        <w:kinsoku/>
        <w:wordWrap/>
        <w:overflowPunct/>
        <w:topLinePunct w:val="0"/>
        <w:autoSpaceDE w:val="0"/>
        <w:autoSpaceDN w:val="0"/>
        <w:bidi w:val="0"/>
        <w:adjustRightInd w:val="0"/>
        <w:snapToGrid w:val="0"/>
        <w:spacing w:line="360" w:lineRule="auto"/>
        <w:ind w:leftChars="0" w:firstLine="560" w:firstLineChars="200"/>
        <w:jc w:val="both"/>
        <w:textAlignment w:val="auto"/>
        <w:rPr>
          <w:rFonts w:hint="eastAsia"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zh-CN"/>
        </w:rPr>
        <w:t>6.提高施工精度与质量：加强技术交底和工人培训，减少因操作不当导致的返工和废料，推行“首件样板”制度，确保施工工艺正确后再大面积展开。</w:t>
      </w:r>
    </w:p>
    <w:p>
      <w:pPr>
        <w:keepNext w:val="0"/>
        <w:keepLines w:val="0"/>
        <w:pageBreakBefore w:val="0"/>
        <w:widowControl w:val="0"/>
        <w:kinsoku/>
        <w:wordWrap/>
        <w:overflowPunct/>
        <w:topLinePunct w:val="0"/>
        <w:autoSpaceDE w:val="0"/>
        <w:autoSpaceDN w:val="0"/>
        <w:bidi w:val="0"/>
        <w:adjustRightInd w:val="0"/>
        <w:snapToGrid w:val="0"/>
        <w:spacing w:line="360" w:lineRule="auto"/>
        <w:ind w:leftChars="0" w:firstLine="560" w:firstLineChars="200"/>
        <w:jc w:val="both"/>
        <w:textAlignment w:val="auto"/>
        <w:rPr>
          <w:rFonts w:hint="eastAsia"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zh-CN"/>
        </w:rPr>
        <w:t>7.改善材料储存与保管：建立规范的仓库，防止钢材锈蚀、木材受潮变形、瓷砖破损等。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Chars="0" w:firstLine="562" w:firstLineChars="200"/>
        <w:jc w:val="both"/>
        <w:textAlignment w:val="auto"/>
        <w:outlineLvl w:val="0"/>
        <w:rPr>
          <w:rFonts w:hint="default" w:ascii="宋体" w:hAnsi="宋体" w:eastAsia="宋体" w:cs="Times New Roman"/>
          <w:b/>
          <w:color w:val="auto"/>
          <w:kern w:val="0"/>
          <w:sz w:val="28"/>
          <w:szCs w:val="28"/>
          <w:highlight w:val="none"/>
          <w:lang w:val="en-US" w:eastAsia="zh-CN"/>
        </w:rPr>
      </w:pPr>
      <w:r>
        <w:rPr>
          <w:rFonts w:hint="eastAsia" w:ascii="宋体" w:hAnsi="宋体" w:eastAsia="宋体" w:cs="Times New Roman"/>
          <w:b/>
          <w:color w:val="auto"/>
          <w:kern w:val="0"/>
          <w:sz w:val="28"/>
          <w:szCs w:val="28"/>
          <w:highlight w:val="none"/>
          <w:lang w:val="en-US" w:eastAsia="zh-CN"/>
        </w:rPr>
        <w:t>二、</w:t>
      </w:r>
      <w:r>
        <w:rPr>
          <w:rFonts w:hint="eastAsia" w:ascii="宋体" w:hAnsi="宋体" w:eastAsia="宋体" w:cs="Times New Roman"/>
          <w:b/>
          <w:color w:val="auto"/>
          <w:kern w:val="0"/>
          <w:sz w:val="28"/>
          <w:szCs w:val="28"/>
          <w:highlight w:val="none"/>
          <w:lang w:val="zh-CN" w:eastAsia="zh-CN"/>
        </w:rPr>
        <w:t>建筑垃圾</w:t>
      </w:r>
      <w:r>
        <w:rPr>
          <w:rFonts w:hint="eastAsia" w:ascii="宋体" w:hAnsi="宋体" w:eastAsia="宋体" w:cs="Times New Roman"/>
          <w:b/>
          <w:color w:val="auto"/>
          <w:kern w:val="0"/>
          <w:sz w:val="28"/>
          <w:szCs w:val="28"/>
          <w:highlight w:val="none"/>
          <w:lang w:val="en-US" w:eastAsia="zh-CN"/>
        </w:rPr>
        <w:t>资源化利用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en-US" w:eastAsia="zh-CN"/>
        </w:rPr>
        <w:t>在</w:t>
      </w:r>
      <w:r>
        <w:rPr>
          <w:rFonts w:hint="eastAsia" w:ascii="宋体" w:hAnsi="宋体" w:eastAsia="宋体" w:cs="Times New Roman"/>
          <w:color w:val="auto"/>
          <w:kern w:val="0"/>
          <w:sz w:val="28"/>
          <w:szCs w:val="28"/>
          <w:highlight w:val="none"/>
          <w:lang w:val="zh-CN" w:eastAsia="zh-CN"/>
        </w:rPr>
        <w:t>源头控制工程建筑垃圾</w:t>
      </w:r>
      <w:r>
        <w:rPr>
          <w:rFonts w:hint="eastAsia" w:ascii="宋体" w:hAnsi="宋体" w:eastAsia="宋体" w:cs="Times New Roman"/>
          <w:color w:val="auto"/>
          <w:kern w:val="0"/>
          <w:sz w:val="28"/>
          <w:szCs w:val="28"/>
          <w:highlight w:val="none"/>
          <w:lang w:val="en-US" w:eastAsia="zh-CN"/>
        </w:rPr>
        <w:t>减量化的基础上</w:t>
      </w:r>
      <w:r>
        <w:rPr>
          <w:rFonts w:hint="eastAsia" w:ascii="宋体" w:hAnsi="宋体" w:eastAsia="宋体" w:cs="Times New Roman"/>
          <w:color w:val="auto"/>
          <w:kern w:val="0"/>
          <w:sz w:val="28"/>
          <w:szCs w:val="28"/>
          <w:highlight w:val="none"/>
          <w:lang w:val="zh-CN" w:eastAsia="zh-CN"/>
        </w:rPr>
        <w:t>，</w:t>
      </w:r>
      <w:r>
        <w:rPr>
          <w:rFonts w:hint="eastAsia" w:ascii="宋体" w:hAnsi="宋体" w:eastAsia="宋体" w:cs="Times New Roman"/>
          <w:color w:val="auto"/>
          <w:kern w:val="0"/>
          <w:sz w:val="28"/>
          <w:szCs w:val="28"/>
          <w:highlight w:val="none"/>
          <w:lang w:val="en-US" w:eastAsia="zh-CN"/>
        </w:rPr>
        <w:t>同步</w:t>
      </w:r>
      <w:r>
        <w:rPr>
          <w:rFonts w:hint="eastAsia" w:ascii="宋体" w:hAnsi="宋体" w:eastAsia="宋体" w:cs="Times New Roman"/>
          <w:color w:val="auto"/>
          <w:kern w:val="0"/>
          <w:sz w:val="28"/>
          <w:szCs w:val="28"/>
          <w:highlight w:val="none"/>
          <w:lang w:val="zh-CN" w:eastAsia="zh-CN"/>
        </w:rPr>
        <w:t>将建筑垃圾转化为可再利用的产品，</w:t>
      </w:r>
      <w:r>
        <w:rPr>
          <w:rFonts w:hint="eastAsia" w:ascii="宋体" w:hAnsi="宋体" w:eastAsia="宋体" w:cs="Times New Roman"/>
          <w:color w:val="auto"/>
          <w:kern w:val="0"/>
          <w:sz w:val="28"/>
          <w:szCs w:val="28"/>
          <w:highlight w:val="none"/>
          <w:lang w:val="en-US" w:eastAsia="zh-CN"/>
        </w:rPr>
        <w:t>节约自然资源，缓解环境压力，助力实现“无废城市”与“双碳”目标。</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outlineLvl w:val="1"/>
        <w:rPr>
          <w:rFonts w:ascii="宋体" w:hAnsi="宋体" w:eastAsia="宋体" w:cs="Times New Roman"/>
          <w:b/>
          <w:color w:val="auto"/>
          <w:kern w:val="0"/>
          <w:sz w:val="28"/>
          <w:szCs w:val="28"/>
          <w:highlight w:val="none"/>
          <w:lang w:val="zh-CN"/>
        </w:rPr>
      </w:pPr>
      <w:r>
        <w:rPr>
          <w:rFonts w:hint="eastAsia" w:ascii="宋体" w:hAnsi="宋体" w:eastAsia="宋体" w:cs="Times New Roman"/>
          <w:b/>
          <w:color w:val="auto"/>
          <w:kern w:val="0"/>
          <w:sz w:val="28"/>
          <w:szCs w:val="28"/>
          <w:highlight w:val="none"/>
          <w:lang w:val="zh-CN"/>
        </w:rPr>
        <w:t>（</w:t>
      </w:r>
      <w:r>
        <w:rPr>
          <w:rFonts w:hint="eastAsia" w:ascii="宋体" w:hAnsi="宋体" w:eastAsia="宋体" w:cs="Times New Roman"/>
          <w:b/>
          <w:color w:val="auto"/>
          <w:kern w:val="0"/>
          <w:sz w:val="28"/>
          <w:szCs w:val="28"/>
          <w:highlight w:val="none"/>
          <w:lang w:val="en-US" w:eastAsia="zh-CN"/>
        </w:rPr>
        <w:t>一</w:t>
      </w:r>
      <w:r>
        <w:rPr>
          <w:rFonts w:hint="eastAsia" w:ascii="宋体" w:hAnsi="宋体" w:eastAsia="宋体" w:cs="Times New Roman"/>
          <w:b/>
          <w:color w:val="auto"/>
          <w:kern w:val="0"/>
          <w:sz w:val="28"/>
          <w:szCs w:val="28"/>
          <w:highlight w:val="none"/>
          <w:lang w:val="zh-CN"/>
        </w:rPr>
        <w:t>）</w:t>
      </w:r>
      <w:r>
        <w:rPr>
          <w:rFonts w:ascii="宋体" w:hAnsi="宋体" w:eastAsia="宋体" w:cs="Times New Roman"/>
          <w:b/>
          <w:color w:val="auto"/>
          <w:kern w:val="0"/>
          <w:sz w:val="28"/>
          <w:szCs w:val="28"/>
          <w:highlight w:val="none"/>
          <w:lang w:val="zh-CN"/>
        </w:rPr>
        <w:t>编制依据</w:t>
      </w:r>
      <w:r>
        <w:rPr>
          <w:rFonts w:hint="eastAsia" w:ascii="宋体" w:hAnsi="宋体" w:eastAsia="宋体" w:cs="Times New Roman"/>
          <w:color w:val="C00000"/>
          <w:kern w:val="0"/>
          <w:sz w:val="28"/>
          <w:szCs w:val="28"/>
          <w:highlight w:val="none"/>
          <w:u w:val="wave"/>
          <w:lang w:val="zh-CN" w:eastAsia="zh-CN"/>
        </w:rPr>
        <w:t>（</w:t>
      </w:r>
      <w:r>
        <w:rPr>
          <w:rFonts w:hint="eastAsia" w:ascii="宋体" w:hAnsi="宋体" w:eastAsia="宋体" w:cs="Times New Roman"/>
          <w:color w:val="C00000"/>
          <w:kern w:val="0"/>
          <w:sz w:val="28"/>
          <w:szCs w:val="28"/>
          <w:highlight w:val="none"/>
          <w:u w:val="wave"/>
          <w:lang w:val="en-US" w:eastAsia="zh-CN"/>
        </w:rPr>
        <w:t>如有新文件，应及时调整）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lang w:val="zh-CN"/>
        </w:rPr>
      </w:pPr>
      <w:r>
        <w:rPr>
          <w:rFonts w:ascii="宋体" w:hAnsi="宋体" w:eastAsia="宋体" w:cs="Times New Roman"/>
          <w:color w:val="auto"/>
          <w:kern w:val="0"/>
          <w:sz w:val="28"/>
          <w:szCs w:val="28"/>
          <w:highlight w:val="none"/>
          <w:lang w:val="zh-CN"/>
        </w:rPr>
        <w:t>1</w:t>
      </w:r>
      <w:r>
        <w:rPr>
          <w:rFonts w:hint="eastAsia" w:ascii="宋体" w:hAnsi="宋体" w:eastAsia="宋体" w:cs="Times New Roman"/>
          <w:color w:val="auto"/>
          <w:kern w:val="0"/>
          <w:sz w:val="28"/>
          <w:szCs w:val="28"/>
          <w:highlight w:val="none"/>
          <w:lang w:val="en-US" w:eastAsia="zh-CN"/>
        </w:rPr>
        <w:t>.</w:t>
      </w:r>
      <w:r>
        <w:rPr>
          <w:rFonts w:hint="eastAsia" w:ascii="宋体" w:hAnsi="宋体" w:eastAsia="宋体" w:cs="Times New Roman"/>
          <w:color w:val="auto"/>
          <w:kern w:val="0"/>
          <w:sz w:val="28"/>
          <w:szCs w:val="28"/>
          <w:highlight w:val="none"/>
          <w:lang w:val="zh-CN"/>
        </w:rPr>
        <w:t>《浙江省住房和城乡建设厅关于浙江省建筑垃圾综合利用产品推广应用的实施意见》（浙建〔2023〕10 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lang w:val="en-US" w:eastAsia="zh-CN"/>
        </w:rPr>
      </w:pPr>
      <w:r>
        <w:rPr>
          <w:rFonts w:hint="eastAsia" w:ascii="宋体" w:hAnsi="宋体" w:eastAsia="宋体" w:cs="Times New Roman"/>
          <w:color w:val="auto"/>
          <w:kern w:val="0"/>
          <w:sz w:val="28"/>
          <w:szCs w:val="28"/>
          <w:highlight w:val="none"/>
          <w:lang w:val="en-US" w:eastAsia="zh-CN"/>
        </w:rPr>
        <w:t>2.《建筑垃圾综合利用产品主要种类、适用工程部位、质量标准及应用规程参考目录（第二版）》（浙建城管发〔2025〕53 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lang w:val="en-US" w:eastAsia="zh-CN"/>
        </w:rPr>
      </w:pPr>
      <w:r>
        <w:rPr>
          <w:rFonts w:hint="eastAsia" w:ascii="宋体" w:hAnsi="宋体" w:eastAsia="宋体" w:cs="Times New Roman"/>
          <w:color w:val="auto"/>
          <w:kern w:val="0"/>
          <w:sz w:val="28"/>
          <w:szCs w:val="28"/>
          <w:highlight w:val="none"/>
          <w:lang w:val="en-US" w:eastAsia="zh-CN"/>
        </w:rPr>
        <w:t>3.《杭州市建筑垃圾管理条例》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lang w:val="en-US" w:eastAsia="zh-CN"/>
        </w:rPr>
      </w:pPr>
      <w:r>
        <w:rPr>
          <w:rFonts w:hint="eastAsia" w:ascii="宋体" w:hAnsi="宋体" w:eastAsia="宋体" w:cs="Times New Roman"/>
          <w:color w:val="auto"/>
          <w:kern w:val="0"/>
          <w:sz w:val="28"/>
          <w:szCs w:val="28"/>
          <w:highlight w:val="none"/>
          <w:lang w:val="en-US" w:eastAsia="zh-CN"/>
        </w:rPr>
        <w:t>4.《杭州市城乡建设s委员会 杭州市发展和改革委员会关于在全市房建市政工程推广应用建筑垃圾综合利用产品的通知》（杭建工〔2025〕118 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lang w:val="en-US" w:eastAsia="zh-CN"/>
        </w:rPr>
      </w:pPr>
      <w:r>
        <w:rPr>
          <w:rFonts w:hint="eastAsia" w:ascii="宋体" w:hAnsi="宋体" w:eastAsia="宋体" w:cs="Times New Roman"/>
          <w:color w:val="auto"/>
          <w:kern w:val="0"/>
          <w:sz w:val="28"/>
          <w:szCs w:val="28"/>
          <w:highlight w:val="none"/>
          <w:lang w:val="en-US" w:eastAsia="zh-CN"/>
        </w:rPr>
        <w:t>5.《杭州市综合行政执法局等四部门关于印发杭州市建筑垃圾资源化利用支持政策 (试行) 的通知》（杭综法〔2026〕7 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lang w:val="en-US" w:eastAsia="zh-CN"/>
        </w:rPr>
      </w:pPr>
      <w:r>
        <w:rPr>
          <w:rFonts w:hint="eastAsia" w:ascii="宋体" w:hAnsi="宋体" w:eastAsia="宋体" w:cs="Times New Roman"/>
          <w:color w:val="auto"/>
          <w:kern w:val="0"/>
          <w:sz w:val="28"/>
          <w:szCs w:val="28"/>
          <w:highlight w:val="none"/>
          <w:lang w:val="en-US" w:eastAsia="zh-CN"/>
        </w:rPr>
        <w:t>6.《浙江省建筑垃圾综合利用产品应用技术导则（试行）》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default" w:ascii="宋体" w:hAnsi="宋体" w:eastAsia="宋体" w:cs="Times New Roman"/>
          <w:color w:val="auto"/>
          <w:kern w:val="0"/>
          <w:sz w:val="28"/>
          <w:szCs w:val="28"/>
          <w:highlight w:val="none"/>
          <w:lang w:val="en-US" w:eastAsia="zh-CN"/>
        </w:rPr>
      </w:pPr>
      <w:r>
        <w:rPr>
          <w:rFonts w:hint="eastAsia" w:ascii="宋体" w:hAnsi="宋体" w:eastAsia="宋体" w:cs="Times New Roman"/>
          <w:color w:val="auto"/>
          <w:kern w:val="0"/>
          <w:sz w:val="28"/>
          <w:szCs w:val="28"/>
          <w:highlight w:val="none"/>
          <w:lang w:val="en-US" w:eastAsia="zh-CN"/>
        </w:rPr>
        <w:t>7.《关于进一步强化建筑垃圾源头减量及综合利用产品应用的通知》（杭建监总〔2026〕5 号）</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outlineLvl w:val="1"/>
        <w:rPr>
          <w:rFonts w:ascii="宋体" w:hAnsi="宋体" w:eastAsia="宋体" w:cs="Times New Roman"/>
          <w:b/>
          <w:color w:val="auto"/>
          <w:kern w:val="0"/>
          <w:sz w:val="28"/>
          <w:szCs w:val="28"/>
          <w:highlight w:val="none"/>
          <w:lang w:val="zh-CN"/>
        </w:rPr>
      </w:pPr>
      <w:r>
        <w:rPr>
          <w:rFonts w:hint="eastAsia" w:ascii="宋体" w:hAnsi="宋体" w:eastAsia="宋体" w:cs="Times New Roman"/>
          <w:b/>
          <w:color w:val="auto"/>
          <w:kern w:val="0"/>
          <w:sz w:val="28"/>
          <w:szCs w:val="28"/>
          <w:highlight w:val="none"/>
          <w:lang w:val="zh-CN"/>
        </w:rPr>
        <w:t>（</w:t>
      </w:r>
      <w:r>
        <w:rPr>
          <w:rFonts w:hint="eastAsia" w:ascii="宋体" w:hAnsi="宋体" w:eastAsia="宋体" w:cs="Times New Roman"/>
          <w:b/>
          <w:color w:val="auto"/>
          <w:kern w:val="0"/>
          <w:sz w:val="28"/>
          <w:szCs w:val="28"/>
          <w:highlight w:val="none"/>
          <w:lang w:val="en-US" w:eastAsia="zh-CN"/>
        </w:rPr>
        <w:t>二</w:t>
      </w:r>
      <w:r>
        <w:rPr>
          <w:rFonts w:hint="eastAsia" w:ascii="宋体" w:hAnsi="宋体" w:eastAsia="宋体" w:cs="Times New Roman"/>
          <w:b/>
          <w:color w:val="auto"/>
          <w:kern w:val="0"/>
          <w:sz w:val="28"/>
          <w:szCs w:val="28"/>
          <w:highlight w:val="none"/>
          <w:lang w:val="zh-CN"/>
        </w:rPr>
        <w:t>）</w:t>
      </w:r>
      <w:r>
        <w:rPr>
          <w:rFonts w:hint="eastAsia" w:ascii="宋体" w:hAnsi="宋体" w:eastAsia="宋体" w:cs="Times New Roman"/>
          <w:b/>
          <w:color w:val="auto"/>
          <w:kern w:val="0"/>
          <w:sz w:val="28"/>
          <w:szCs w:val="28"/>
          <w:highlight w:val="none"/>
          <w:lang w:val="en-US" w:eastAsia="zh-CN"/>
        </w:rPr>
        <w:t>资源化利用</w:t>
      </w:r>
      <w:r>
        <w:rPr>
          <w:rFonts w:ascii="宋体" w:hAnsi="宋体" w:eastAsia="宋体" w:cs="Times New Roman"/>
          <w:b/>
          <w:color w:val="auto"/>
          <w:kern w:val="0"/>
          <w:sz w:val="28"/>
          <w:szCs w:val="28"/>
          <w:highlight w:val="none"/>
          <w:lang w:val="zh-CN"/>
        </w:rPr>
        <w:t>目标</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zh-CN"/>
        </w:rPr>
        <w:t>设计中充分考虑应用尽用原则，确保在符合技术规范的前提下，最大限度地使用再生产品。</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zh-CN"/>
        </w:rPr>
        <w:t>根据《关于在全市房建市政工程推广应用建筑垃圾综合利用产品的通知》（杭建工（2025）118号）的规定，政府投资项目在可使用综合利用产品部位，应优先使用综合利用产品。其中制品类、填料和混合料类等综合利用产品应在房建市政工程相关部位全部使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lang w:val="zh-CN"/>
        </w:rPr>
      </w:pPr>
      <w:r>
        <w:rPr>
          <w:rFonts w:hint="eastAsia" w:ascii="宋体" w:hAnsi="宋体" w:eastAsia="宋体" w:cs="Times New Roman"/>
          <w:color w:val="auto"/>
          <w:kern w:val="0"/>
          <w:sz w:val="28"/>
          <w:szCs w:val="28"/>
          <w:highlight w:val="none"/>
          <w:lang w:val="zh-CN"/>
        </w:rPr>
        <w:t>根据《关于进一步强化建筑垃圾源头减量及综合利用产品应用的通知》（杭建监总〔2026〕5号）的规定，2025年10月1日后立项的全市房建市政工程，政府投资项目在可使用综合利用产品部位，优先使用综合利用产品，其中12个部位应100%使用18类综合利用产品。社会投资项目鼓励使用综合利用产品，相关部门按达到比例部位中使用建筑垃圾再生产品的给予政策支持。</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yellow"/>
          <w:lang w:val="zh-CN"/>
        </w:rPr>
      </w:pPr>
      <w:r>
        <w:rPr>
          <w:rFonts w:hint="eastAsia" w:ascii="宋体" w:hAnsi="宋体" w:eastAsia="宋体" w:cs="Times New Roman"/>
          <w:color w:val="C00000"/>
          <w:kern w:val="0"/>
          <w:sz w:val="28"/>
          <w:szCs w:val="28"/>
          <w:highlight w:val="none"/>
          <w:u w:val="wave"/>
          <w:lang w:val="en-US" w:eastAsia="zh-CN"/>
        </w:rPr>
        <w:t>(备注：以下仅为示例，需根据项目实际情况编写）</w:t>
      </w:r>
      <w:r>
        <w:rPr>
          <w:rFonts w:hint="eastAsia" w:ascii="宋体" w:hAnsi="宋体" w:eastAsia="宋体" w:cs="Times New Roman"/>
          <w:color w:val="C00000"/>
          <w:kern w:val="0"/>
          <w:sz w:val="28"/>
          <w:szCs w:val="28"/>
          <w:highlight w:val="none"/>
          <w:u w:val="wave"/>
          <w:lang w:val="zh-CN" w:eastAsia="zh-CN"/>
        </w:rPr>
        <w:t>本工程优先选用可循环、可再利用及利废建筑材料，所选材料满足耐久性、环保要求，便于后期维护、拆卸与回收。基础砖胎膜、管井、管沟等部位优先选用预制部品和建筑垃圾再生产品；室外工程、非承重部位优先使用再生骨料混凝土、再生砖等再生产品。</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outlineLvl w:val="1"/>
        <w:rPr>
          <w:rFonts w:ascii="宋体" w:hAnsi="宋体" w:eastAsia="宋体" w:cs="Times New Roman"/>
          <w:b/>
          <w:color w:val="auto"/>
          <w:kern w:val="0"/>
          <w:sz w:val="28"/>
          <w:szCs w:val="28"/>
          <w:highlight w:val="none"/>
          <w:lang w:val="zh-CN"/>
        </w:rPr>
      </w:pPr>
      <w:r>
        <w:rPr>
          <w:rFonts w:hint="eastAsia" w:ascii="宋体" w:hAnsi="宋体" w:eastAsia="宋体" w:cs="Times New Roman"/>
          <w:b/>
          <w:color w:val="auto"/>
          <w:kern w:val="0"/>
          <w:sz w:val="28"/>
          <w:szCs w:val="28"/>
          <w:highlight w:val="none"/>
          <w:lang w:val="en-US" w:eastAsia="zh-CN"/>
        </w:rPr>
        <w:t>（三）资源化</w:t>
      </w:r>
      <w:r>
        <w:rPr>
          <w:rFonts w:ascii="宋体" w:hAnsi="宋体" w:eastAsia="宋体" w:cs="Times New Roman"/>
          <w:b/>
          <w:color w:val="auto"/>
          <w:kern w:val="0"/>
          <w:sz w:val="28"/>
          <w:szCs w:val="28"/>
          <w:highlight w:val="none"/>
          <w:lang w:val="zh-CN"/>
        </w:rPr>
        <w:t>产品</w:t>
      </w:r>
      <w:r>
        <w:rPr>
          <w:rFonts w:hint="eastAsia" w:ascii="宋体" w:hAnsi="宋体" w:eastAsia="宋体" w:cs="Times New Roman"/>
          <w:b/>
          <w:color w:val="auto"/>
          <w:kern w:val="0"/>
          <w:sz w:val="28"/>
          <w:szCs w:val="28"/>
          <w:highlight w:val="none"/>
          <w:lang w:val="en-US" w:eastAsia="zh-CN"/>
        </w:rPr>
        <w:t>利用及预期成效</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color w:val="auto"/>
          <w:kern w:val="0"/>
          <w:sz w:val="28"/>
          <w:szCs w:val="28"/>
          <w:highlight w:val="none"/>
          <w:u w:val="none"/>
          <w:lang w:val="en-US" w:eastAsia="zh-CN"/>
        </w:rPr>
      </w:pPr>
      <w:r>
        <w:rPr>
          <w:rFonts w:hint="eastAsia" w:ascii="宋体" w:hAnsi="宋体" w:eastAsia="宋体" w:cs="Times New Roman"/>
          <w:color w:val="auto"/>
          <w:kern w:val="0"/>
          <w:sz w:val="28"/>
          <w:szCs w:val="28"/>
          <w:highlight w:val="none"/>
          <w:u w:val="none"/>
          <w:lang w:val="en-US" w:eastAsia="zh-CN"/>
        </w:rPr>
        <w:t>建筑垃圾综合利用产品分为骨料和粉料类、砖和砌块类、板材类、混凝土和砂浆类、填料和混合料类、其他类。各类建筑垃圾综合利用产品的质量应符合《浙江省建筑垃圾综合利用产品应用技术导则（试行）》第4.0.2～4.0.7条的规定。</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0" w:firstLineChars="200"/>
        <w:textAlignment w:val="auto"/>
        <w:rPr>
          <w:rFonts w:hint="eastAsia" w:ascii="宋体" w:hAnsi="宋体" w:eastAsia="宋体" w:cs="Times New Roman"/>
          <w:b/>
          <w:bCs/>
          <w:color w:val="auto"/>
          <w:kern w:val="0"/>
          <w:sz w:val="28"/>
          <w:szCs w:val="28"/>
          <w:highlight w:val="none"/>
          <w:lang w:val="zh-CN"/>
        </w:rPr>
      </w:pPr>
      <w:r>
        <w:rPr>
          <w:rFonts w:hint="eastAsia" w:ascii="宋体" w:hAnsi="宋体" w:eastAsia="宋体" w:cs="Times New Roman"/>
          <w:color w:val="C00000"/>
          <w:kern w:val="0"/>
          <w:sz w:val="28"/>
          <w:szCs w:val="28"/>
          <w:highlight w:val="none"/>
          <w:u w:val="wave"/>
          <w:lang w:val="en-US" w:eastAsia="zh-CN"/>
        </w:rPr>
        <w:t>（备注：设计单位根据项目实际情况进行设计，并以文字和图纸说明综合利用产品种类规格、使用部位、使用比例、技术参数、预估使用量等具体情况，同步填写以下表格。以下内容仅为示例。）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jc w:val="center"/>
        <w:textAlignment w:val="auto"/>
        <w:rPr>
          <w:rFonts w:hint="eastAsia" w:ascii="宋体" w:hAnsi="宋体" w:eastAsia="宋体" w:cs="Times New Roman"/>
          <w:b/>
          <w:bCs/>
          <w:color w:val="auto"/>
          <w:kern w:val="0"/>
          <w:sz w:val="28"/>
          <w:szCs w:val="28"/>
          <w:highlight w:val="none"/>
          <w:lang w:val="zh-CN"/>
        </w:rPr>
      </w:pPr>
      <w:r>
        <w:rPr>
          <w:rFonts w:hint="eastAsia" w:ascii="宋体" w:hAnsi="宋体" w:eastAsia="宋体" w:cs="Times New Roman"/>
          <w:b/>
          <w:bCs/>
          <w:color w:val="auto"/>
          <w:kern w:val="0"/>
          <w:sz w:val="28"/>
          <w:szCs w:val="28"/>
          <w:highlight w:val="none"/>
          <w:lang w:val="zh-CN"/>
        </w:rPr>
        <w:t>建筑垃圾资源化利用预估表</w:t>
      </w:r>
    </w:p>
    <w:tbl>
      <w:tblPr>
        <w:tblStyle w:val="11"/>
        <w:tblW w:w="10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3586"/>
        <w:gridCol w:w="2002"/>
        <w:gridCol w:w="2202"/>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446" w:type="dxa"/>
            <w:vMerge w:val="restart"/>
            <w:tcBorders>
              <w:tl2br w:val="nil"/>
              <w:tr2bl w:val="nil"/>
            </w:tcBorders>
            <w:vAlign w:val="center"/>
          </w:tcPr>
          <w:p>
            <w:pPr>
              <w:jc w:val="center"/>
              <w:rPr>
                <w:rFonts w:hint="default" w:ascii="宋体" w:hAnsi="宋体" w:eastAsia="宋体" w:cs="宋体"/>
                <w:b/>
                <w:bCs/>
                <w:color w:val="0A0A0A"/>
                <w:kern w:val="0"/>
                <w:sz w:val="24"/>
                <w:szCs w:val="24"/>
                <w:lang w:val="en-US" w:eastAsia="zh-CN"/>
              </w:rPr>
            </w:pPr>
            <w:r>
              <w:rPr>
                <w:rFonts w:hint="eastAsia" w:ascii="黑体" w:hAnsi="黑体" w:eastAsia="黑体" w:cs="仿宋_GB2312"/>
                <w:sz w:val="28"/>
                <w:szCs w:val="28"/>
              </w:rPr>
              <w:t>序号</w:t>
            </w:r>
          </w:p>
        </w:tc>
        <w:tc>
          <w:tcPr>
            <w:tcW w:w="3586" w:type="dxa"/>
            <w:vMerge w:val="restart"/>
            <w:tcBorders>
              <w:tl2br w:val="nil"/>
              <w:tr2bl w:val="nil"/>
            </w:tcBorders>
            <w:vAlign w:val="center"/>
          </w:tcPr>
          <w:p>
            <w:pPr>
              <w:jc w:val="center"/>
              <w:rPr>
                <w:rFonts w:hint="default" w:ascii="宋体" w:hAnsi="宋体" w:eastAsia="宋体" w:cs="宋体"/>
                <w:b/>
                <w:bCs/>
                <w:color w:val="0A0A0A"/>
                <w:kern w:val="0"/>
                <w:sz w:val="24"/>
                <w:szCs w:val="24"/>
                <w:lang w:val="en-US" w:eastAsia="zh-CN"/>
              </w:rPr>
            </w:pPr>
            <w:r>
              <w:rPr>
                <w:rFonts w:hint="eastAsia" w:ascii="黑体" w:hAnsi="黑体" w:eastAsia="黑体" w:cs="仿宋_GB2312"/>
                <w:sz w:val="28"/>
                <w:szCs w:val="28"/>
              </w:rPr>
              <w:t>使用产品</w:t>
            </w:r>
          </w:p>
        </w:tc>
        <w:tc>
          <w:tcPr>
            <w:tcW w:w="2002" w:type="dxa"/>
            <w:vMerge w:val="restart"/>
            <w:tcBorders>
              <w:tl2br w:val="nil"/>
              <w:tr2bl w:val="nil"/>
            </w:tcBorders>
            <w:vAlign w:val="center"/>
          </w:tcPr>
          <w:p>
            <w:pPr>
              <w:jc w:val="center"/>
              <w:rPr>
                <w:rFonts w:hint="default" w:ascii="宋体" w:hAnsi="宋体" w:eastAsia="宋体" w:cs="宋体"/>
                <w:b/>
                <w:bCs/>
                <w:color w:val="0A0A0A"/>
                <w:kern w:val="0"/>
                <w:sz w:val="24"/>
                <w:szCs w:val="24"/>
                <w:lang w:val="en-US" w:eastAsia="zh-CN"/>
              </w:rPr>
            </w:pPr>
            <w:r>
              <w:rPr>
                <w:rFonts w:hint="eastAsia" w:ascii="黑体" w:hAnsi="黑体" w:eastAsia="黑体" w:cs="仿宋_GB2312"/>
                <w:sz w:val="28"/>
                <w:szCs w:val="28"/>
              </w:rPr>
              <w:t>利用部位</w:t>
            </w:r>
          </w:p>
        </w:tc>
        <w:tc>
          <w:tcPr>
            <w:tcW w:w="4128" w:type="dxa"/>
            <w:gridSpan w:val="2"/>
            <w:tcBorders>
              <w:tl2br w:val="nil"/>
              <w:tr2bl w:val="nil"/>
            </w:tcBorders>
            <w:vAlign w:val="center"/>
          </w:tcPr>
          <w:p>
            <w:pPr>
              <w:jc w:val="center"/>
              <w:rPr>
                <w:rFonts w:hint="eastAsia" w:ascii="黑体" w:hAnsi="黑体" w:eastAsia="黑体" w:cs="仿宋_GB2312"/>
                <w:sz w:val="28"/>
                <w:szCs w:val="28"/>
              </w:rPr>
            </w:pPr>
            <w:r>
              <w:rPr>
                <w:rFonts w:hint="eastAsia" w:ascii="黑体" w:hAnsi="黑体" w:eastAsia="黑体" w:cs="仿宋_GB2312"/>
                <w:sz w:val="28"/>
                <w:szCs w:val="28"/>
              </w:rPr>
              <w:t>利用规模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46" w:type="dxa"/>
            <w:vMerge w:val="continue"/>
            <w:tcBorders>
              <w:tl2br w:val="nil"/>
              <w:tr2bl w:val="nil"/>
            </w:tcBorders>
            <w:vAlign w:val="center"/>
          </w:tcPr>
          <w:p>
            <w:pPr>
              <w:jc w:val="center"/>
              <w:rPr>
                <w:rFonts w:hint="eastAsia" w:ascii="黑体" w:hAnsi="黑体" w:eastAsia="黑体" w:cs="仿宋_GB2312"/>
                <w:sz w:val="28"/>
                <w:szCs w:val="28"/>
              </w:rPr>
            </w:pPr>
          </w:p>
        </w:tc>
        <w:tc>
          <w:tcPr>
            <w:tcW w:w="3586" w:type="dxa"/>
            <w:vMerge w:val="continue"/>
            <w:tcBorders>
              <w:tl2br w:val="nil"/>
              <w:tr2bl w:val="nil"/>
            </w:tcBorders>
            <w:vAlign w:val="center"/>
          </w:tcPr>
          <w:p>
            <w:pPr>
              <w:jc w:val="center"/>
              <w:rPr>
                <w:rFonts w:hint="eastAsia" w:ascii="黑体" w:hAnsi="黑体" w:eastAsia="黑体" w:cs="仿宋_GB2312"/>
                <w:sz w:val="28"/>
                <w:szCs w:val="28"/>
              </w:rPr>
            </w:pPr>
          </w:p>
        </w:tc>
        <w:tc>
          <w:tcPr>
            <w:tcW w:w="2002" w:type="dxa"/>
            <w:vMerge w:val="continue"/>
            <w:tcBorders>
              <w:tl2br w:val="nil"/>
              <w:tr2bl w:val="nil"/>
            </w:tcBorders>
            <w:vAlign w:val="center"/>
          </w:tcPr>
          <w:p>
            <w:pPr>
              <w:jc w:val="center"/>
              <w:rPr>
                <w:rFonts w:hint="eastAsia" w:ascii="黑体" w:hAnsi="黑体" w:eastAsia="黑体" w:cs="仿宋_GB2312"/>
                <w:sz w:val="28"/>
                <w:szCs w:val="28"/>
              </w:rPr>
            </w:pPr>
          </w:p>
        </w:tc>
        <w:tc>
          <w:tcPr>
            <w:tcW w:w="2202" w:type="dxa"/>
            <w:tcBorders>
              <w:tl2br w:val="nil"/>
              <w:tr2bl w:val="nil"/>
            </w:tcBorders>
            <w:vAlign w:val="center"/>
          </w:tcPr>
          <w:p>
            <w:pPr>
              <w:jc w:val="center"/>
              <w:rPr>
                <w:rFonts w:hint="eastAsia" w:ascii="黑体" w:hAnsi="黑体" w:eastAsia="黑体" w:cs="仿宋_GB2312"/>
                <w:sz w:val="28"/>
                <w:szCs w:val="28"/>
                <w:lang w:val="en-US" w:eastAsia="zh-CN"/>
              </w:rPr>
            </w:pPr>
            <w:r>
              <w:rPr>
                <w:rFonts w:hint="eastAsia" w:ascii="黑体" w:hAnsi="黑体" w:eastAsia="黑体" w:cs="仿宋_GB2312"/>
                <w:sz w:val="28"/>
                <w:szCs w:val="28"/>
                <w:lang w:val="en-US" w:eastAsia="zh-CN"/>
              </w:rPr>
              <w:t>体积（立方米）</w:t>
            </w:r>
          </w:p>
        </w:tc>
        <w:tc>
          <w:tcPr>
            <w:tcW w:w="1926" w:type="dxa"/>
            <w:tcBorders>
              <w:tl2br w:val="nil"/>
              <w:tr2bl w:val="nil"/>
            </w:tcBorders>
            <w:vAlign w:val="center"/>
          </w:tcPr>
          <w:p>
            <w:pPr>
              <w:jc w:val="center"/>
              <w:rPr>
                <w:rFonts w:hint="default" w:ascii="黑体" w:hAnsi="黑体" w:eastAsia="黑体" w:cs="仿宋_GB2312"/>
                <w:sz w:val="28"/>
                <w:szCs w:val="28"/>
                <w:lang w:val="en-US" w:eastAsia="zh-CN"/>
              </w:rPr>
            </w:pPr>
            <w:r>
              <w:rPr>
                <w:rFonts w:hint="eastAsia" w:ascii="黑体" w:hAnsi="黑体" w:eastAsia="黑体" w:cs="仿宋_GB2312"/>
                <w:sz w:val="28"/>
                <w:szCs w:val="28"/>
                <w:lang w:val="en-US" w:eastAsia="zh-CN"/>
              </w:rPr>
              <w:t>重量（吨）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46"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1</w:t>
            </w:r>
          </w:p>
        </w:tc>
        <w:tc>
          <w:tcPr>
            <w:tcW w:w="3586"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再生骨料混凝土实心砖</w:t>
            </w:r>
          </w:p>
        </w:tc>
        <w:tc>
          <w:tcPr>
            <w:tcW w:w="2002"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基础砖胎膜</w:t>
            </w:r>
          </w:p>
        </w:tc>
        <w:tc>
          <w:tcPr>
            <w:tcW w:w="2202"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37.5</w:t>
            </w:r>
          </w:p>
        </w:tc>
        <w:tc>
          <w:tcPr>
            <w:tcW w:w="1926" w:type="dxa"/>
            <w:tcBorders>
              <w:tl2br w:val="nil"/>
              <w:tr2bl w:val="nil"/>
            </w:tcBorders>
            <w:shd w:val="clear" w:color="auto" w:fill="auto"/>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46"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2</w:t>
            </w:r>
          </w:p>
        </w:tc>
        <w:tc>
          <w:tcPr>
            <w:tcW w:w="3586"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蒸压加气混凝土砌块（示例）</w:t>
            </w:r>
          </w:p>
        </w:tc>
        <w:tc>
          <w:tcPr>
            <w:tcW w:w="2002"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框架填充墙</w:t>
            </w:r>
          </w:p>
        </w:tc>
        <w:tc>
          <w:tcPr>
            <w:tcW w:w="2202"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210.6</w:t>
            </w:r>
          </w:p>
        </w:tc>
        <w:tc>
          <w:tcPr>
            <w:tcW w:w="1926" w:type="dxa"/>
            <w:tcBorders>
              <w:tl2br w:val="nil"/>
              <w:tr2bl w:val="nil"/>
            </w:tcBorders>
            <w:shd w:val="clear" w:color="auto" w:fill="auto"/>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46"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3</w:t>
            </w:r>
          </w:p>
        </w:tc>
        <w:tc>
          <w:tcPr>
            <w:tcW w:w="3586"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再生骨料承重混凝土多孔砖（示例）</w:t>
            </w:r>
          </w:p>
        </w:tc>
        <w:tc>
          <w:tcPr>
            <w:tcW w:w="2002"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lang w:val="en-US" w:eastAsia="zh-CN"/>
              </w:rPr>
              <w:t>围墙</w:t>
            </w:r>
          </w:p>
        </w:tc>
        <w:tc>
          <w:tcPr>
            <w:tcW w:w="2202"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lang w:val="en-US" w:eastAsia="zh-CN"/>
              </w:rPr>
              <w:t>180</w:t>
            </w:r>
          </w:p>
        </w:tc>
        <w:tc>
          <w:tcPr>
            <w:tcW w:w="1926" w:type="dxa"/>
            <w:tcBorders>
              <w:tl2br w:val="nil"/>
              <w:tr2bl w:val="nil"/>
            </w:tcBorders>
            <w:shd w:val="clear" w:color="auto" w:fill="auto"/>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46"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4</w:t>
            </w:r>
          </w:p>
        </w:tc>
        <w:tc>
          <w:tcPr>
            <w:tcW w:w="3586"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w:t>
            </w:r>
          </w:p>
        </w:tc>
        <w:tc>
          <w:tcPr>
            <w:tcW w:w="2002"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w:t>
            </w:r>
          </w:p>
        </w:tc>
        <w:tc>
          <w:tcPr>
            <w:tcW w:w="2202" w:type="dxa"/>
            <w:tcBorders>
              <w:tl2br w:val="nil"/>
              <w:tr2bl w:val="nil"/>
            </w:tcBorders>
            <w:shd w:val="clear" w:color="auto" w:fill="auto"/>
            <w:vAlign w:val="center"/>
          </w:tcPr>
          <w:p>
            <w:pPr>
              <w:jc w:val="center"/>
              <w:rPr>
                <w:rFonts w:hint="eastAsia" w:ascii="仿宋_GB2312" w:hAnsi="仿宋_GB2312" w:eastAsia="仿宋_GB2312" w:cs="仿宋_GB2312"/>
                <w:kern w:val="2"/>
                <w:sz w:val="24"/>
                <w:szCs w:val="24"/>
                <w:lang w:val="en-US" w:eastAsia="zh-CN" w:bidi="ar-SA"/>
                <w14:ligatures w14:val="standardContextual"/>
              </w:rPr>
            </w:pPr>
            <w:r>
              <w:rPr>
                <w:rFonts w:hint="eastAsia" w:ascii="仿宋_GB2312" w:hAnsi="仿宋_GB2312" w:eastAsia="仿宋_GB2312" w:cs="仿宋_GB2312"/>
                <w:sz w:val="24"/>
                <w:szCs w:val="24"/>
              </w:rPr>
              <w:t>···</w:t>
            </w:r>
          </w:p>
        </w:tc>
        <w:tc>
          <w:tcPr>
            <w:tcW w:w="1926" w:type="dxa"/>
            <w:tcBorders>
              <w:tl2br w:val="nil"/>
              <w:tr2bl w:val="nil"/>
            </w:tcBorders>
            <w:shd w:val="clear" w:color="auto" w:fill="auto"/>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r>
    </w:tbl>
    <w:p>
      <w:pPr>
        <w:pStyle w:val="15"/>
        <w:rPr>
          <w:lang w:val="zh-CN"/>
        </w:rPr>
      </w:pP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宋体" w:hAnsi="宋体" w:eastAsia="宋体" w:cs="Times New Roman"/>
          <w:b/>
          <w:color w:val="auto"/>
          <w:kern w:val="0"/>
          <w:sz w:val="28"/>
          <w:szCs w:val="28"/>
          <w:highlight w:val="none"/>
          <w:lang w:val="en-US" w:eastAsia="zh-CN"/>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562" w:firstLineChars="200"/>
        <w:textAlignment w:val="auto"/>
        <w:outlineLvl w:val="1"/>
        <w:rPr>
          <w:rFonts w:ascii="宋体" w:hAnsi="宋体" w:eastAsia="宋体" w:cs="Times New Roman"/>
          <w:b/>
          <w:color w:val="auto"/>
          <w:kern w:val="0"/>
          <w:sz w:val="28"/>
          <w:szCs w:val="28"/>
          <w:highlight w:val="none"/>
          <w:lang w:val="zh-CN"/>
        </w:rPr>
      </w:pPr>
      <w:r>
        <w:rPr>
          <w:rFonts w:hint="eastAsia" w:ascii="宋体" w:hAnsi="宋体" w:eastAsia="宋体" w:cs="Times New Roman"/>
          <w:b/>
          <w:color w:val="auto"/>
          <w:kern w:val="0"/>
          <w:sz w:val="28"/>
          <w:szCs w:val="28"/>
          <w:highlight w:val="none"/>
          <w:lang w:val="en-US" w:eastAsia="zh-CN"/>
        </w:rPr>
        <w:t>（四）</w:t>
      </w:r>
      <w:r>
        <w:rPr>
          <w:rFonts w:ascii="宋体" w:hAnsi="宋体" w:eastAsia="宋体" w:cs="Times New Roman"/>
          <w:b/>
          <w:color w:val="auto"/>
          <w:kern w:val="0"/>
          <w:sz w:val="28"/>
          <w:szCs w:val="28"/>
          <w:highlight w:val="none"/>
          <w:lang w:val="zh-CN"/>
        </w:rPr>
        <w:t>施工阶段落实要求</w:t>
      </w:r>
      <w:r>
        <w:rPr>
          <w:rFonts w:hint="eastAsia" w:ascii="宋体" w:hAnsi="宋体" w:eastAsia="宋体" w:cs="Times New Roman"/>
          <w:color w:val="C00000"/>
          <w:kern w:val="0"/>
          <w:sz w:val="28"/>
          <w:szCs w:val="28"/>
          <w:highlight w:val="none"/>
          <w:u w:val="wave"/>
          <w:lang w:val="zh-CN" w:eastAsia="zh-CN"/>
        </w:rPr>
        <w:t>（</w:t>
      </w:r>
      <w:r>
        <w:rPr>
          <w:rFonts w:hint="eastAsia" w:ascii="宋体" w:hAnsi="宋体" w:eastAsia="宋体" w:cs="Times New Roman"/>
          <w:color w:val="C00000"/>
          <w:kern w:val="0"/>
          <w:sz w:val="28"/>
          <w:szCs w:val="28"/>
          <w:highlight w:val="none"/>
          <w:u w:val="wave"/>
          <w:lang w:val="en-US" w:eastAsia="zh-CN"/>
        </w:rPr>
        <w:t>施工图设计阶段落实，初步设计阶段不适用）</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color w:val="auto"/>
          <w:kern w:val="0"/>
          <w:sz w:val="28"/>
          <w:szCs w:val="28"/>
          <w:highlight w:val="none"/>
          <w:lang w:val="zh-CN" w:eastAsia="zh-CN"/>
        </w:rPr>
      </w:pPr>
      <w:r>
        <w:rPr>
          <w:rFonts w:hint="eastAsia" w:ascii="宋体" w:hAnsi="宋体" w:eastAsia="宋体" w:cs="Times New Roman"/>
          <w:color w:val="auto"/>
          <w:kern w:val="0"/>
          <w:sz w:val="28"/>
          <w:szCs w:val="28"/>
          <w:highlight w:val="none"/>
          <w:lang w:val="zh-CN" w:eastAsia="zh-CN"/>
        </w:rPr>
        <w:t>1.施工单位必须严格按照经审查批准的施工图设计文件中明确的使用部位、比例、技术参数等要求，使用建筑垃圾综合利用产品。</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color w:val="auto"/>
          <w:kern w:val="0"/>
          <w:sz w:val="28"/>
          <w:szCs w:val="28"/>
          <w:highlight w:val="none"/>
          <w:lang w:val="zh-CN" w:eastAsia="zh-CN"/>
        </w:rPr>
      </w:pPr>
      <w:r>
        <w:rPr>
          <w:rFonts w:hint="eastAsia" w:ascii="宋体" w:hAnsi="宋体" w:eastAsia="宋体" w:cs="Times New Roman"/>
          <w:color w:val="auto"/>
          <w:kern w:val="0"/>
          <w:sz w:val="28"/>
          <w:szCs w:val="28"/>
          <w:highlight w:val="none"/>
          <w:lang w:val="zh-CN" w:eastAsia="zh-CN"/>
        </w:rPr>
        <w:t>2.综合利用产品进场前，建设单位应委托具备相应资质的第三方检测机构进行质量检测，施工单位应对进场的建筑垃圾综合利用产品进行严格检验，核对产品种类、规格、数量及质量证明文件，严禁不合格产品用于施工现场。</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color w:val="auto"/>
          <w:kern w:val="0"/>
          <w:sz w:val="28"/>
          <w:szCs w:val="28"/>
          <w:highlight w:val="none"/>
          <w:lang w:val="zh-CN" w:eastAsia="zh-CN"/>
        </w:rPr>
      </w:pPr>
      <w:r>
        <w:rPr>
          <w:rFonts w:hint="eastAsia" w:ascii="宋体" w:hAnsi="宋体" w:eastAsia="宋体" w:cs="Times New Roman"/>
          <w:color w:val="auto"/>
          <w:kern w:val="0"/>
          <w:sz w:val="28"/>
          <w:szCs w:val="28"/>
          <w:highlight w:val="none"/>
          <w:lang w:val="zh-CN" w:eastAsia="zh-CN"/>
        </w:rPr>
        <w:t>3.施工过程中应加强工艺控制和工序管理，确保施工质量符合相关标准规范。</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Times New Roman"/>
          <w:color w:val="auto"/>
          <w:kern w:val="0"/>
          <w:sz w:val="28"/>
          <w:szCs w:val="28"/>
          <w:highlight w:val="none"/>
          <w:lang w:val="zh-CN" w:eastAsia="zh-CN"/>
        </w:rPr>
      </w:pPr>
      <w:r>
        <w:rPr>
          <w:rFonts w:hint="eastAsia" w:ascii="宋体" w:hAnsi="宋体" w:eastAsia="宋体" w:cs="Times New Roman"/>
          <w:color w:val="auto"/>
          <w:kern w:val="0"/>
          <w:sz w:val="28"/>
          <w:szCs w:val="28"/>
          <w:highlight w:val="none"/>
          <w:lang w:val="zh-CN" w:eastAsia="zh-CN"/>
        </w:rPr>
        <w:t>4.竣工验收前，建设单位应牵头单列本工程已使用的综合利用产品数量、部位；验收时，明确验收结论、形成书面记录。</w:t>
      </w:r>
    </w:p>
    <w:p>
      <w:pPr>
        <w:ind w:firstLine="562" w:firstLineChars="200"/>
        <w:rPr>
          <w:rFonts w:hint="eastAsia" w:ascii="宋体" w:hAnsi="宋体" w:eastAsia="宋体" w:cs="Times New Roman"/>
          <w:b/>
          <w:bCs/>
          <w:color w:val="auto"/>
          <w:kern w:val="0"/>
          <w:sz w:val="28"/>
          <w:szCs w:val="28"/>
          <w:highlight w:val="none"/>
          <w:lang w:val="en-US" w:eastAsia="zh-CN"/>
        </w:rPr>
      </w:pPr>
    </w:p>
    <w:p>
      <w:pPr>
        <w:ind w:firstLine="562" w:firstLineChars="200"/>
        <w:outlineLvl w:val="0"/>
        <w:rPr>
          <w:rFonts w:hint="eastAsia" w:ascii="宋体" w:hAnsi="宋体" w:eastAsia="宋体" w:cs="Times New Roman"/>
          <w:b/>
          <w:bCs/>
          <w:color w:val="auto"/>
          <w:kern w:val="0"/>
          <w:sz w:val="28"/>
          <w:szCs w:val="28"/>
          <w:highlight w:val="none"/>
          <w:lang w:val="en-US" w:eastAsia="zh-CN"/>
        </w:rPr>
        <w:sectPr>
          <w:type w:val="continuous"/>
          <w:pgSz w:w="23811" w:h="16838" w:orient="landscape"/>
          <w:pgMar w:top="1800" w:right="1440" w:bottom="1800" w:left="1440" w:header="720" w:footer="720" w:gutter="0"/>
          <w:pgBorders>
            <w:top w:val="none" w:sz="0" w:space="0"/>
            <w:left w:val="none" w:sz="0" w:space="0"/>
            <w:bottom w:val="none" w:sz="0" w:space="0"/>
            <w:right w:val="none" w:sz="0" w:space="0"/>
          </w:pgBorders>
          <w:cols w:equalWidth="0" w:num="2">
            <w:col w:w="10253" w:space="1264"/>
            <w:col w:w="9414"/>
          </w:cols>
        </w:sectPr>
      </w:pPr>
      <w:r>
        <w:rPr>
          <w:rFonts w:hint="eastAsia" w:ascii="宋体" w:hAnsi="宋体" w:eastAsia="宋体" w:cs="Times New Roman"/>
          <w:b/>
          <w:bCs/>
          <w:color w:val="auto"/>
          <w:kern w:val="0"/>
          <w:sz w:val="28"/>
          <w:szCs w:val="28"/>
          <w:highlight w:val="none"/>
          <w:lang w:val="en-US" w:eastAsia="zh-CN"/>
        </w:rPr>
        <w:t>附件：</w:t>
      </w:r>
      <w:r>
        <w:rPr>
          <w:rFonts w:ascii="宋体" w:hAnsi="宋体" w:eastAsia="宋体" w:cs="Times New Roman"/>
          <w:b/>
          <w:bCs/>
          <w:color w:val="auto"/>
          <w:kern w:val="0"/>
          <w:sz w:val="28"/>
          <w:szCs w:val="28"/>
          <w:highlight w:val="none"/>
          <w:lang w:val="zh-CN"/>
        </w:rPr>
        <w:t xml:space="preserve"> </w:t>
      </w:r>
      <w:r>
        <w:rPr>
          <w:rFonts w:hint="eastAsia" w:ascii="宋体" w:hAnsi="宋体" w:eastAsia="宋体" w:cs="Times New Roman"/>
          <w:b/>
          <w:bCs/>
          <w:color w:val="auto"/>
          <w:kern w:val="0"/>
          <w:sz w:val="28"/>
          <w:szCs w:val="28"/>
          <w:highlight w:val="none"/>
          <w:lang w:val="en-US" w:eastAsia="zh-CN"/>
        </w:rPr>
        <w:t>土方平衡论证报告</w:t>
      </w:r>
    </w:p>
    <w:p>
      <w:pPr>
        <w:jc w:val="left"/>
        <w:rPr>
          <w:rFonts w:hint="eastAsia" w:eastAsiaTheme="minorEastAsia"/>
          <w:sz w:val="32"/>
          <w:szCs w:val="32"/>
          <w:lang w:val="en-US" w:eastAsia="zh-CN"/>
        </w:rPr>
      </w:pPr>
      <w:r>
        <w:rPr>
          <w:rFonts w:hint="eastAsia"/>
          <w:sz w:val="32"/>
          <w:szCs w:val="32"/>
          <w:lang w:val="en-US" w:eastAsia="zh-CN"/>
        </w:rPr>
        <w:t>附件</w:t>
      </w: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outlineLvl w:val="9"/>
        <w:rPr>
          <w:rFonts w:hint="eastAsia" w:ascii="宋体" w:hAnsi="宋体" w:eastAsia="宋体" w:cs="宋体"/>
          <w:sz w:val="52"/>
          <w:szCs w:val="52"/>
        </w:rPr>
      </w:pPr>
      <w:r>
        <w:rPr>
          <w:rFonts w:hint="eastAsia" w:ascii="宋体" w:hAnsi="宋体" w:eastAsia="宋体" w:cs="宋体"/>
          <w:sz w:val="52"/>
          <w:szCs w:val="52"/>
        </w:rPr>
        <w:t>土方平衡</w:t>
      </w:r>
      <w:r>
        <w:rPr>
          <w:rFonts w:hint="eastAsia" w:ascii="宋体" w:hAnsi="宋体" w:eastAsia="宋体" w:cs="宋体"/>
          <w:sz w:val="52"/>
          <w:szCs w:val="52"/>
          <w:lang w:val="en-US" w:eastAsia="zh-CN"/>
        </w:rPr>
        <w:t>专项</w:t>
      </w:r>
      <w:r>
        <w:rPr>
          <w:rFonts w:hint="eastAsia" w:ascii="宋体" w:hAnsi="宋体" w:eastAsia="宋体" w:cs="宋体"/>
          <w:sz w:val="52"/>
          <w:szCs w:val="52"/>
        </w:rPr>
        <w:t>论证报告</w:t>
      </w:r>
    </w:p>
    <w:p>
      <w:pPr>
        <w:jc w:val="center"/>
        <w:rPr>
          <w:rFonts w:hint="eastAsia" w:ascii="宋体" w:hAnsi="宋体" w:eastAsia="宋体" w:cs="宋体"/>
          <w:lang w:eastAsia="zh-CN"/>
        </w:rPr>
      </w:pPr>
    </w:p>
    <w:p>
      <w:pPr>
        <w:jc w:val="center"/>
        <w:rPr>
          <w:rFonts w:hint="eastAsia" w:ascii="宋体" w:hAnsi="宋体" w:eastAsia="宋体" w:cs="宋体"/>
          <w:sz w:val="36"/>
          <w:szCs w:val="36"/>
          <w:lang w:eastAsia="zh-CN"/>
        </w:rPr>
      </w:pPr>
      <w:r>
        <w:rPr>
          <w:rFonts w:hint="eastAsia" w:ascii="宋体" w:hAnsi="宋体" w:eastAsia="宋体" w:cs="宋体"/>
          <w:sz w:val="36"/>
          <w:szCs w:val="36"/>
          <w:lang w:eastAsia="zh-CN"/>
        </w:rPr>
        <w:t>（</w:t>
      </w:r>
      <w:r>
        <w:rPr>
          <w:rFonts w:hint="eastAsia" w:ascii="宋体" w:hAnsi="宋体" w:eastAsia="宋体" w:cs="宋体"/>
          <w:sz w:val="36"/>
          <w:szCs w:val="36"/>
          <w:lang w:val="en-US" w:eastAsia="zh-CN"/>
        </w:rPr>
        <w:t>建筑工程</w:t>
      </w:r>
      <w:r>
        <w:rPr>
          <w:rFonts w:hint="eastAsia" w:ascii="宋体" w:hAnsi="宋体" w:eastAsia="宋体" w:cs="宋体"/>
          <w:sz w:val="36"/>
          <w:szCs w:val="36"/>
          <w:lang w:eastAsia="zh-CN"/>
        </w:rPr>
        <w:t>）</w:t>
      </w: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jc w:val="center"/>
        <w:rPr>
          <w:rFonts w:hint="eastAsia" w:ascii="宋体" w:hAnsi="宋体" w:eastAsia="宋体" w:cs="宋体"/>
        </w:rPr>
      </w:pPr>
    </w:p>
    <w:p>
      <w:pPr>
        <w:jc w:val="center"/>
        <w:rPr>
          <w:rFonts w:hint="eastAsia" w:ascii="宋体" w:hAnsi="宋体" w:eastAsia="宋体" w:cs="宋体"/>
          <w:sz w:val="28"/>
          <w:szCs w:val="28"/>
        </w:rPr>
      </w:pPr>
      <w:r>
        <w:rPr>
          <w:rFonts w:hint="eastAsia" w:ascii="宋体" w:hAnsi="宋体" w:eastAsia="宋体" w:cs="宋体"/>
          <w:sz w:val="28"/>
          <w:szCs w:val="28"/>
        </w:rPr>
        <w:t>项目名称：________________________</w:t>
      </w:r>
    </w:p>
    <w:p>
      <w:pPr>
        <w:jc w:val="center"/>
        <w:rPr>
          <w:rFonts w:hint="eastAsia" w:ascii="宋体" w:hAnsi="宋体" w:eastAsia="宋体" w:cs="宋体"/>
          <w:sz w:val="28"/>
          <w:szCs w:val="28"/>
        </w:rPr>
      </w:pPr>
      <w:r>
        <w:rPr>
          <w:rFonts w:hint="eastAsia" w:ascii="宋体" w:hAnsi="宋体" w:eastAsia="宋体" w:cs="宋体"/>
          <w:sz w:val="28"/>
          <w:szCs w:val="28"/>
        </w:rPr>
        <w:t>项目地点：________________________</w:t>
      </w:r>
    </w:p>
    <w:p>
      <w:pPr>
        <w:jc w:val="center"/>
        <w:rPr>
          <w:rFonts w:hint="eastAsia" w:ascii="宋体" w:hAnsi="宋体" w:eastAsia="宋体" w:cs="宋体"/>
          <w:sz w:val="28"/>
          <w:szCs w:val="28"/>
        </w:rPr>
      </w:pPr>
      <w:r>
        <w:rPr>
          <w:rFonts w:hint="eastAsia" w:ascii="宋体" w:hAnsi="宋体" w:eastAsia="宋体" w:cs="宋体"/>
          <w:sz w:val="28"/>
          <w:szCs w:val="28"/>
        </w:rPr>
        <w:t>编制单位：________________________</w:t>
      </w:r>
    </w:p>
    <w:p>
      <w:pPr>
        <w:jc w:val="center"/>
        <w:rPr>
          <w:rFonts w:hint="eastAsia" w:ascii="宋体" w:hAnsi="宋体" w:eastAsia="宋体" w:cs="宋体"/>
          <w:sz w:val="28"/>
          <w:szCs w:val="28"/>
        </w:rPr>
      </w:pPr>
      <w:r>
        <w:rPr>
          <w:rFonts w:hint="eastAsia" w:ascii="宋体" w:hAnsi="宋体" w:eastAsia="宋体" w:cs="宋体"/>
          <w:sz w:val="28"/>
          <w:szCs w:val="28"/>
        </w:rPr>
        <w:t>编制日期：________________________</w:t>
      </w:r>
    </w:p>
    <w:p>
      <w:pPr>
        <w:jc w:val="both"/>
        <w:rPr>
          <w:rFonts w:hint="eastAsia" w:ascii="宋体" w:hAnsi="宋体" w:eastAsia="宋体" w:cs="宋体"/>
          <w:sz w:val="24"/>
        </w:rPr>
      </w:pPr>
    </w:p>
    <w:p>
      <w:pPr>
        <w:jc w:val="both"/>
        <w:rPr>
          <w:rFonts w:hint="eastAsia" w:ascii="宋体" w:hAnsi="宋体" w:eastAsia="宋体" w:cs="宋体"/>
          <w:sz w:val="24"/>
        </w:rPr>
      </w:pPr>
    </w:p>
    <w:p>
      <w:pPr>
        <w:jc w:val="both"/>
        <w:rPr>
          <w:rFonts w:hint="eastAsia" w:ascii="宋体" w:hAnsi="宋体" w:eastAsia="宋体" w:cs="宋体"/>
          <w:sz w:val="24"/>
        </w:rPr>
      </w:pPr>
    </w:p>
    <w:p>
      <w:pPr>
        <w:jc w:val="both"/>
        <w:rPr>
          <w:rFonts w:hint="eastAsia" w:ascii="宋体" w:hAnsi="宋体" w:eastAsia="宋体" w:cs="宋体"/>
          <w:sz w:val="24"/>
        </w:rPr>
      </w:pPr>
    </w:p>
    <w:p>
      <w:pPr>
        <w:jc w:val="both"/>
        <w:rPr>
          <w:rFonts w:hint="eastAsia" w:ascii="宋体" w:hAnsi="宋体" w:eastAsia="宋体" w:cs="宋体"/>
          <w:sz w:val="24"/>
        </w:rPr>
      </w:pPr>
    </w:p>
    <w:p>
      <w:pPr>
        <w:jc w:val="both"/>
        <w:rPr>
          <w:rFonts w:hint="eastAsia" w:ascii="宋体" w:hAnsi="宋体" w:eastAsia="宋体" w:cs="宋体"/>
          <w:sz w:val="24"/>
          <w:szCs w:val="22"/>
        </w:rPr>
      </w:pPr>
      <w:r>
        <w:rPr>
          <w:rFonts w:hint="eastAsia" w:ascii="宋体" w:hAnsi="宋体" w:eastAsia="宋体" w:cs="Times New Roman"/>
          <w:color w:val="C00000"/>
          <w:kern w:val="0"/>
          <w:sz w:val="24"/>
          <w:szCs w:val="24"/>
          <w:highlight w:val="none"/>
          <w:u w:val="wave"/>
          <w:lang w:val="en-US" w:eastAsia="zh-CN" w:bidi="ar-SA"/>
          <w14:ligatures w14:val="standardContextual"/>
        </w:rPr>
        <w:t>（备注：本模板仅做格式及内容参考，报告编制单位可根据项目实际情况适当增减内容；报告需满足《浙江省建筑垃圾减量化专项设计指南（试行）》的要求。）</w:t>
      </w:r>
    </w:p>
    <w:p>
      <w:pPr>
        <w:rPr>
          <w:rFonts w:hint="eastAsia"/>
          <w:b/>
          <w:bCs/>
          <w:sz w:val="24"/>
          <w:szCs w:val="24"/>
        </w:rPr>
      </w:pPr>
      <w:r>
        <w:rPr>
          <w:rFonts w:hint="eastAsia"/>
          <w:b/>
          <w:bCs/>
          <w:sz w:val="24"/>
          <w:szCs w:val="24"/>
        </w:rPr>
        <w:br w:type="page"/>
      </w:r>
    </w:p>
    <w:p>
      <w:pPr>
        <w:numPr>
          <w:ilvl w:val="0"/>
          <w:numId w:val="2"/>
        </w:numPr>
        <w:spacing w:line="360" w:lineRule="auto"/>
        <w:jc w:val="center"/>
        <w:outlineLvl w:val="0"/>
        <w:rPr>
          <w:rFonts w:hint="eastAsia"/>
          <w:b/>
          <w:bCs/>
          <w:sz w:val="24"/>
        </w:rPr>
      </w:pPr>
      <w:r>
        <w:rPr>
          <w:rFonts w:hint="eastAsia"/>
          <w:b/>
          <w:bCs/>
          <w:sz w:val="28"/>
          <w:szCs w:val="28"/>
        </w:rPr>
        <w:t>项目概况</w:t>
      </w:r>
    </w:p>
    <w:p>
      <w:pPr>
        <w:spacing w:line="360" w:lineRule="auto"/>
        <w:outlineLvl w:val="1"/>
        <w:rPr>
          <w:rFonts w:hint="eastAsia" w:ascii="宋体" w:hAnsi="宋体" w:eastAsia="宋体" w:cs="宋体"/>
          <w:b/>
          <w:bCs/>
          <w:sz w:val="24"/>
        </w:rPr>
      </w:pPr>
      <w:r>
        <w:rPr>
          <w:rFonts w:hint="eastAsia" w:ascii="宋体" w:hAnsi="宋体" w:eastAsia="宋体" w:cs="宋体"/>
          <w:b/>
          <w:bCs/>
          <w:sz w:val="24"/>
        </w:rPr>
        <w:t>1.1 项目基本信息</w:t>
      </w:r>
    </w:p>
    <w:p>
      <w:pPr>
        <w:spacing w:line="360" w:lineRule="auto"/>
        <w:jc w:val="center"/>
        <w:rPr>
          <w:rFonts w:hint="default" w:ascii="宋体" w:hAnsi="宋体" w:eastAsia="宋体" w:cs="宋体"/>
          <w:b/>
          <w:bCs/>
          <w:sz w:val="24"/>
          <w:lang w:val="en-US" w:eastAsia="zh-CN"/>
        </w:rPr>
      </w:pPr>
      <w:r>
        <w:rPr>
          <w:rFonts w:hint="eastAsia" w:ascii="宋体" w:hAnsi="宋体" w:eastAsia="宋体" w:cs="宋体"/>
          <w:b/>
          <w:bCs/>
          <w:sz w:val="24"/>
        </w:rPr>
        <w:t>表1</w:t>
      </w:r>
      <w:r>
        <w:rPr>
          <w:rFonts w:hint="eastAsia" w:ascii="宋体" w:hAnsi="宋体" w:eastAsia="宋体" w:cs="宋体"/>
          <w:b/>
          <w:bCs/>
          <w:sz w:val="24"/>
          <w:lang w:val="en-US" w:eastAsia="zh-CN"/>
        </w:rPr>
        <w:t xml:space="preserve"> 项目基本信息表</w:t>
      </w:r>
    </w:p>
    <w:tbl>
      <w:tblPr>
        <w:tblStyle w:val="10"/>
        <w:tblW w:w="8313" w:type="dxa"/>
        <w:tblInd w:w="0" w:type="dxa"/>
        <w:tblLayout w:type="fixed"/>
        <w:tblCellMar>
          <w:top w:w="0" w:type="dxa"/>
          <w:left w:w="0" w:type="dxa"/>
          <w:bottom w:w="0" w:type="dxa"/>
          <w:right w:w="0" w:type="dxa"/>
        </w:tblCellMar>
      </w:tblPr>
      <w:tblGrid>
        <w:gridCol w:w="2913"/>
        <w:gridCol w:w="5400"/>
      </w:tblGrid>
      <w:tr>
        <w:tblPrEx>
          <w:tblCellMar>
            <w:top w:w="0" w:type="dxa"/>
            <w:left w:w="0" w:type="dxa"/>
            <w:bottom w:w="0" w:type="dxa"/>
            <w:right w:w="0" w:type="dxa"/>
          </w:tblCellMar>
        </w:tblPrEx>
        <w:trPr>
          <w:trHeight w:val="270" w:hRule="atLeast"/>
        </w:trPr>
        <w:tc>
          <w:tcPr>
            <w:tcW w:w="2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项目</w:t>
            </w:r>
          </w:p>
        </w:tc>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b/>
                <w:bCs/>
                <w:color w:val="000000"/>
                <w:sz w:val="24"/>
              </w:rPr>
            </w:pPr>
            <w:r>
              <w:rPr>
                <w:rFonts w:hint="eastAsia" w:ascii="宋体" w:hAnsi="宋体" w:eastAsia="宋体" w:cs="宋体"/>
                <w:b/>
                <w:bCs/>
                <w:color w:val="000000"/>
                <w:kern w:val="0"/>
                <w:sz w:val="24"/>
                <w:lang w:bidi="ar"/>
              </w:rPr>
              <w:t>内容</w:t>
            </w:r>
          </w:p>
        </w:tc>
      </w:tr>
      <w:tr>
        <w:tblPrEx>
          <w:tblCellMar>
            <w:top w:w="0" w:type="dxa"/>
            <w:left w:w="0" w:type="dxa"/>
            <w:bottom w:w="0" w:type="dxa"/>
            <w:right w:w="0" w:type="dxa"/>
          </w:tblCellMar>
        </w:tblPrEx>
        <w:trPr>
          <w:trHeight w:val="270" w:hRule="atLeast"/>
        </w:trPr>
        <w:tc>
          <w:tcPr>
            <w:tcW w:w="2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项目名称</w:t>
            </w:r>
          </w:p>
        </w:tc>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2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建设单位</w:t>
            </w:r>
          </w:p>
        </w:tc>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2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设计单位</w:t>
            </w:r>
          </w:p>
        </w:tc>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2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用地面积</w:t>
            </w:r>
          </w:p>
        </w:tc>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righ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w:t>
            </w:r>
          </w:p>
        </w:tc>
      </w:tr>
      <w:tr>
        <w:tblPrEx>
          <w:tblCellMar>
            <w:top w:w="0" w:type="dxa"/>
            <w:left w:w="0" w:type="dxa"/>
            <w:bottom w:w="0" w:type="dxa"/>
            <w:right w:w="0" w:type="dxa"/>
          </w:tblCellMar>
        </w:tblPrEx>
        <w:trPr>
          <w:trHeight w:val="270" w:hRule="atLeast"/>
        </w:trPr>
        <w:tc>
          <w:tcPr>
            <w:tcW w:w="2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总建筑面积</w:t>
            </w:r>
          </w:p>
        </w:tc>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righ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w:t>
            </w:r>
          </w:p>
        </w:tc>
      </w:tr>
      <w:tr>
        <w:tblPrEx>
          <w:tblCellMar>
            <w:top w:w="0" w:type="dxa"/>
            <w:left w:w="0" w:type="dxa"/>
            <w:bottom w:w="0" w:type="dxa"/>
            <w:right w:w="0" w:type="dxa"/>
          </w:tblCellMar>
        </w:tblPrEx>
        <w:trPr>
          <w:trHeight w:val="270" w:hRule="atLeast"/>
        </w:trPr>
        <w:tc>
          <w:tcPr>
            <w:tcW w:w="2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地下建筑面积</w:t>
            </w:r>
          </w:p>
        </w:tc>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righ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w:t>
            </w:r>
          </w:p>
        </w:tc>
      </w:tr>
      <w:tr>
        <w:tblPrEx>
          <w:tblCellMar>
            <w:top w:w="0" w:type="dxa"/>
            <w:left w:w="0" w:type="dxa"/>
            <w:bottom w:w="0" w:type="dxa"/>
            <w:right w:w="0" w:type="dxa"/>
          </w:tblCellMar>
        </w:tblPrEx>
        <w:trPr>
          <w:trHeight w:val="270" w:hRule="atLeast"/>
        </w:trPr>
        <w:tc>
          <w:tcPr>
            <w:tcW w:w="2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建筑占地面积</w:t>
            </w:r>
          </w:p>
        </w:tc>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righ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w:t>
            </w:r>
          </w:p>
        </w:tc>
      </w:tr>
      <w:tr>
        <w:tblPrEx>
          <w:tblCellMar>
            <w:top w:w="0" w:type="dxa"/>
            <w:left w:w="0" w:type="dxa"/>
            <w:bottom w:w="0" w:type="dxa"/>
            <w:right w:w="0" w:type="dxa"/>
          </w:tblCellMar>
        </w:tblPrEx>
        <w:trPr>
          <w:trHeight w:val="270" w:hRule="atLeast"/>
        </w:trPr>
        <w:tc>
          <w:tcPr>
            <w:tcW w:w="2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容积率</w:t>
            </w:r>
          </w:p>
        </w:tc>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2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建筑密度</w:t>
            </w:r>
          </w:p>
        </w:tc>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2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绿地率</w:t>
            </w:r>
          </w:p>
        </w:tc>
        <w:tc>
          <w:tcPr>
            <w:tcW w:w="54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bl>
    <w:p>
      <w:pPr>
        <w:spacing w:line="360" w:lineRule="auto"/>
        <w:outlineLvl w:val="1"/>
        <w:rPr>
          <w:rFonts w:hint="eastAsia" w:ascii="宋体" w:hAnsi="宋体" w:eastAsia="宋体" w:cs="宋体"/>
          <w:b/>
          <w:bCs/>
          <w:sz w:val="24"/>
        </w:rPr>
      </w:pPr>
      <w:r>
        <w:rPr>
          <w:rFonts w:hint="eastAsia" w:ascii="宋体" w:hAnsi="宋体" w:eastAsia="宋体" w:cs="宋体"/>
          <w:b/>
          <w:bCs/>
          <w:sz w:val="24"/>
        </w:rPr>
        <w:t>1.2 场地现状条件</w:t>
      </w:r>
    </w:p>
    <w:p>
      <w:pPr>
        <w:spacing w:line="360" w:lineRule="auto"/>
        <w:ind w:left="480" w:hanging="480" w:hangingChars="200"/>
        <w:rPr>
          <w:rFonts w:hint="eastAsia" w:ascii="宋体" w:hAnsi="宋体" w:eastAsia="宋体" w:cs="宋体"/>
          <w:sz w:val="24"/>
        </w:rPr>
      </w:pPr>
      <w:r>
        <w:rPr>
          <w:rFonts w:hint="eastAsia" w:ascii="宋体" w:hAnsi="宋体" w:eastAsia="宋体" w:cs="宋体"/>
          <w:sz w:val="24"/>
        </w:rPr>
        <w:t>原始地形地貌：________________________</w:t>
      </w:r>
    </w:p>
    <w:p>
      <w:pPr>
        <w:spacing w:line="360" w:lineRule="auto"/>
        <w:ind w:left="480" w:hanging="480" w:hangingChars="200"/>
        <w:rPr>
          <w:rFonts w:hint="eastAsia" w:ascii="宋体" w:hAnsi="宋体" w:eastAsia="宋体" w:cs="宋体"/>
          <w:sz w:val="24"/>
        </w:rPr>
      </w:pPr>
      <w:r>
        <w:rPr>
          <w:rFonts w:hint="eastAsia" w:ascii="宋体" w:hAnsi="宋体" w:eastAsia="宋体" w:cs="宋体"/>
          <w:sz w:val="24"/>
        </w:rPr>
        <w:t>场地标高范围：______m ~ ______m</w:t>
      </w:r>
    </w:p>
    <w:p>
      <w:pPr>
        <w:spacing w:line="360" w:lineRule="auto"/>
        <w:ind w:left="480" w:hanging="480" w:hangingChars="200"/>
        <w:rPr>
          <w:rFonts w:hint="eastAsia" w:ascii="宋体" w:hAnsi="宋体" w:eastAsia="宋体" w:cs="宋体"/>
          <w:sz w:val="24"/>
        </w:rPr>
      </w:pPr>
      <w:r>
        <w:rPr>
          <w:rFonts w:hint="eastAsia" w:ascii="宋体" w:hAnsi="宋体" w:eastAsia="宋体" w:cs="宋体"/>
          <w:sz w:val="24"/>
        </w:rPr>
        <w:t>场地坡度特征：________________________</w:t>
      </w:r>
    </w:p>
    <w:p>
      <w:pPr>
        <w:spacing w:line="360" w:lineRule="auto"/>
        <w:ind w:left="480" w:hanging="480" w:hangingChars="200"/>
        <w:rPr>
          <w:rFonts w:hint="eastAsia" w:ascii="宋体" w:hAnsi="宋体" w:eastAsia="宋体" w:cs="宋体"/>
          <w:sz w:val="24"/>
        </w:rPr>
      </w:pPr>
      <w:r>
        <w:rPr>
          <w:rFonts w:hint="eastAsia" w:ascii="宋体" w:hAnsi="宋体" w:eastAsia="宋体" w:cs="宋体"/>
          <w:sz w:val="24"/>
        </w:rPr>
        <w:t>现有建（构）筑物情况：________________________</w:t>
      </w:r>
    </w:p>
    <w:p>
      <w:pPr>
        <w:spacing w:line="360" w:lineRule="auto"/>
        <w:ind w:left="480" w:hanging="480" w:hangingChars="200"/>
        <w:rPr>
          <w:rFonts w:hint="eastAsia" w:ascii="宋体" w:hAnsi="宋体" w:eastAsia="宋体" w:cs="宋体"/>
          <w:sz w:val="24"/>
        </w:rPr>
      </w:pPr>
      <w:r>
        <w:rPr>
          <w:rFonts w:hint="eastAsia" w:ascii="宋体" w:hAnsi="宋体" w:eastAsia="宋体" w:cs="宋体"/>
          <w:sz w:val="24"/>
        </w:rPr>
        <w:t>周边市政道路标高：________________________</w:t>
      </w:r>
    </w:p>
    <w:p>
      <w:pPr>
        <w:spacing w:line="360" w:lineRule="auto"/>
        <w:outlineLvl w:val="1"/>
        <w:rPr>
          <w:rFonts w:hint="eastAsia" w:ascii="宋体" w:hAnsi="宋体" w:eastAsia="宋体" w:cs="宋体"/>
          <w:b/>
          <w:bCs/>
          <w:sz w:val="24"/>
        </w:rPr>
      </w:pPr>
      <w:r>
        <w:rPr>
          <w:rFonts w:hint="eastAsia" w:ascii="宋体" w:hAnsi="宋体" w:eastAsia="宋体" w:cs="宋体"/>
          <w:b/>
          <w:bCs/>
          <w:sz w:val="24"/>
        </w:rPr>
        <w:t>1.3 设计标高方案</w:t>
      </w:r>
    </w:p>
    <w:p>
      <w:pPr>
        <w:spacing w:line="360" w:lineRule="auto"/>
        <w:jc w:val="center"/>
        <w:outlineLvl w:val="0"/>
        <w:rPr>
          <w:rFonts w:hint="default" w:ascii="宋体" w:hAnsi="宋体" w:eastAsia="宋体" w:cs="宋体"/>
          <w:b/>
          <w:bCs/>
          <w:sz w:val="24"/>
          <w:lang w:val="en-US" w:eastAsia="zh-CN"/>
        </w:rPr>
      </w:pPr>
      <w:r>
        <w:rPr>
          <w:rFonts w:hint="eastAsia" w:ascii="宋体" w:hAnsi="宋体" w:eastAsia="宋体" w:cs="宋体"/>
          <w:b/>
          <w:bCs/>
          <w:sz w:val="24"/>
        </w:rPr>
        <w:t>表2</w:t>
      </w:r>
      <w:r>
        <w:rPr>
          <w:rFonts w:hint="eastAsia" w:ascii="宋体" w:hAnsi="宋体" w:eastAsia="宋体" w:cs="宋体"/>
          <w:b/>
          <w:bCs/>
          <w:sz w:val="24"/>
          <w:lang w:val="en-US" w:eastAsia="zh-CN"/>
        </w:rPr>
        <w:t xml:space="preserve"> 设计标高方案表</w:t>
      </w:r>
    </w:p>
    <w:tbl>
      <w:tblPr>
        <w:tblStyle w:val="10"/>
        <w:tblW w:w="8303" w:type="dxa"/>
        <w:tblInd w:w="0" w:type="dxa"/>
        <w:tblLayout w:type="fixed"/>
        <w:tblCellMar>
          <w:top w:w="0" w:type="dxa"/>
          <w:left w:w="0" w:type="dxa"/>
          <w:bottom w:w="0" w:type="dxa"/>
          <w:right w:w="0" w:type="dxa"/>
        </w:tblCellMar>
      </w:tblPr>
      <w:tblGrid>
        <w:gridCol w:w="2903"/>
        <w:gridCol w:w="2380"/>
        <w:gridCol w:w="3020"/>
      </w:tblGrid>
      <w:tr>
        <w:tblPrEx>
          <w:tblCellMar>
            <w:top w:w="0" w:type="dxa"/>
            <w:left w:w="0" w:type="dxa"/>
            <w:bottom w:w="0" w:type="dxa"/>
            <w:right w:w="0" w:type="dxa"/>
          </w:tblCellMar>
        </w:tblPrEx>
        <w:trPr>
          <w:trHeight w:val="270" w:hRule="atLeast"/>
        </w:trPr>
        <w:tc>
          <w:tcPr>
            <w:tcW w:w="2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项目</w:t>
            </w:r>
          </w:p>
        </w:tc>
        <w:tc>
          <w:tcPr>
            <w:tcW w:w="2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设计标高（m）</w:t>
            </w:r>
          </w:p>
        </w:tc>
        <w:tc>
          <w:tcPr>
            <w:tcW w:w="3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备注</w:t>
            </w:r>
          </w:p>
        </w:tc>
      </w:tr>
      <w:tr>
        <w:tblPrEx>
          <w:tblCellMar>
            <w:top w:w="0" w:type="dxa"/>
            <w:left w:w="0" w:type="dxa"/>
            <w:bottom w:w="0" w:type="dxa"/>
            <w:right w:w="0" w:type="dxa"/>
          </w:tblCellMar>
        </w:tblPrEx>
        <w:trPr>
          <w:trHeight w:val="270" w:hRule="atLeast"/>
        </w:trPr>
        <w:tc>
          <w:tcPr>
            <w:tcW w:w="2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场地设计标高</w:t>
            </w:r>
          </w:p>
        </w:tc>
        <w:tc>
          <w:tcPr>
            <w:tcW w:w="2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3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2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建筑室内±0.000</w:t>
            </w:r>
          </w:p>
        </w:tc>
        <w:tc>
          <w:tcPr>
            <w:tcW w:w="2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3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r>
        <w:tblPrEx>
          <w:tblCellMar>
            <w:top w:w="0" w:type="dxa"/>
            <w:left w:w="0" w:type="dxa"/>
            <w:bottom w:w="0" w:type="dxa"/>
            <w:right w:w="0" w:type="dxa"/>
          </w:tblCellMar>
        </w:tblPrEx>
        <w:trPr>
          <w:trHeight w:val="90" w:hRule="atLeast"/>
        </w:trPr>
        <w:tc>
          <w:tcPr>
            <w:tcW w:w="2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地下室底板标高</w:t>
            </w:r>
          </w:p>
        </w:tc>
        <w:tc>
          <w:tcPr>
            <w:tcW w:w="2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3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29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周边道路衔接标高</w:t>
            </w:r>
          </w:p>
        </w:tc>
        <w:tc>
          <w:tcPr>
            <w:tcW w:w="2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3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bl>
    <w:p>
      <w:pP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8"/>
          <w:szCs w:val="28"/>
        </w:rPr>
        <w:br w:type="page"/>
      </w:r>
    </w:p>
    <w:p>
      <w:pPr>
        <w:numPr>
          <w:ilvl w:val="0"/>
          <w:numId w:val="2"/>
        </w:numPr>
        <w:spacing w:line="360" w:lineRule="auto"/>
        <w:jc w:val="center"/>
        <w:outlineLvl w:val="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8"/>
          <w:szCs w:val="28"/>
        </w:rPr>
        <w:t>土方工程减量化措施分析</w:t>
      </w:r>
    </w:p>
    <w:p>
      <w:pPr>
        <w:pStyle w:val="4"/>
        <w:outlineLvl w:val="1"/>
        <w:rPr>
          <w:rFonts w:hint="eastAsia" w:ascii="宋体" w:hAnsi="宋体" w:eastAsia="宋体" w:cs="宋体"/>
          <w:b/>
          <w:bCs/>
          <w:sz w:val="24"/>
          <w:lang w:val="en-US" w:eastAsia="zh-CN"/>
        </w:rPr>
      </w:pPr>
      <w:r>
        <w:rPr>
          <w:rFonts w:hint="eastAsia" w:ascii="宋体" w:hAnsi="宋体" w:eastAsia="宋体" w:cs="宋体"/>
          <w:b/>
          <w:bCs/>
          <w:sz w:val="24"/>
        </w:rPr>
        <w:t xml:space="preserve">2.1 </w:t>
      </w:r>
      <w:r>
        <w:rPr>
          <w:rFonts w:hint="eastAsia" w:ascii="宋体" w:hAnsi="宋体" w:eastAsia="宋体" w:cs="宋体"/>
          <w:b/>
          <w:bCs/>
          <w:sz w:val="24"/>
          <w:lang w:val="en-US" w:eastAsia="zh-CN"/>
        </w:rPr>
        <w:t>土方相关工程</w:t>
      </w:r>
      <w:r>
        <w:rPr>
          <w:rFonts w:hint="eastAsia" w:ascii="宋体" w:hAnsi="宋体" w:eastAsia="宋体" w:cs="宋体"/>
          <w:b/>
          <w:bCs/>
          <w:sz w:val="24"/>
        </w:rPr>
        <w:t>方</w:t>
      </w:r>
      <w:r>
        <w:rPr>
          <w:rFonts w:hint="eastAsia" w:ascii="宋体" w:hAnsi="宋体" w:eastAsia="宋体" w:cs="宋体"/>
          <w:b/>
          <w:bCs/>
          <w:sz w:val="24"/>
          <w:lang w:val="en-US" w:eastAsia="zh-CN"/>
        </w:rPr>
        <w:t>案比选</w:t>
      </w:r>
    </w:p>
    <w:p>
      <w:pPr>
        <w:pStyle w:val="4"/>
        <w:ind w:firstLine="240" w:firstLineChars="100"/>
        <w:rPr>
          <w:rFonts w:hint="eastAsia" w:ascii="宋体" w:hAnsi="宋体" w:eastAsia="宋体" w:cs="宋体"/>
          <w:color w:val="C00000"/>
          <w:sz w:val="24"/>
          <w:u w:val="wave"/>
        </w:rPr>
      </w:pPr>
      <w:r>
        <w:rPr>
          <w:rFonts w:hint="eastAsia" w:ascii="宋体" w:hAnsi="宋体" w:eastAsia="宋体" w:cs="宋体"/>
          <w:color w:val="C00000"/>
          <w:sz w:val="24"/>
          <w:u w:val="wave"/>
          <w:lang w:val="en-US" w:eastAsia="zh-CN"/>
        </w:rPr>
        <w:t>（根据指南第3.3.1条、3.3.2条要求，对以下方案进行比选：）</w:t>
      </w:r>
    </w:p>
    <w:p>
      <w:pPr>
        <w:spacing w:line="360" w:lineRule="auto"/>
        <w:jc w:val="center"/>
        <w:rPr>
          <w:rFonts w:hint="default" w:ascii="宋体" w:hAnsi="宋体" w:eastAsia="宋体" w:cs="宋体"/>
          <w:b/>
          <w:bCs/>
          <w:sz w:val="24"/>
          <w:lang w:val="en-US" w:eastAsia="zh-CN"/>
        </w:rPr>
      </w:pPr>
      <w:r>
        <w:rPr>
          <w:rFonts w:hint="eastAsia" w:ascii="宋体" w:hAnsi="宋体" w:eastAsia="宋体" w:cs="宋体"/>
          <w:b/>
          <w:bCs/>
          <w:sz w:val="24"/>
        </w:rPr>
        <w:t>表3</w:t>
      </w:r>
      <w:r>
        <w:rPr>
          <w:rFonts w:hint="eastAsia" w:ascii="宋体" w:hAnsi="宋体" w:eastAsia="宋体" w:cs="宋体"/>
          <w:b/>
          <w:bCs/>
          <w:sz w:val="24"/>
          <w:lang w:val="en-US" w:eastAsia="zh-CN"/>
        </w:rPr>
        <w:t xml:space="preserve"> 土方相关工程方案比选</w:t>
      </w:r>
    </w:p>
    <w:tbl>
      <w:tblPr>
        <w:tblStyle w:val="10"/>
        <w:tblW w:w="8256" w:type="dxa"/>
        <w:tblInd w:w="0" w:type="dxa"/>
        <w:tblLayout w:type="autofit"/>
        <w:tblCellMar>
          <w:top w:w="0" w:type="dxa"/>
          <w:left w:w="0" w:type="dxa"/>
          <w:bottom w:w="0" w:type="dxa"/>
          <w:right w:w="0" w:type="dxa"/>
        </w:tblCellMar>
      </w:tblPr>
      <w:tblGrid>
        <w:gridCol w:w="1376"/>
        <w:gridCol w:w="1376"/>
        <w:gridCol w:w="1376"/>
        <w:gridCol w:w="1376"/>
        <w:gridCol w:w="1376"/>
        <w:gridCol w:w="1376"/>
      </w:tblGrid>
      <w:tr>
        <w:tblPrEx>
          <w:tblCellMar>
            <w:top w:w="0" w:type="dxa"/>
            <w:left w:w="0" w:type="dxa"/>
            <w:bottom w:w="0" w:type="dxa"/>
            <w:right w:w="0" w:type="dxa"/>
          </w:tblCellMar>
        </w:tblPrEx>
        <w:trPr>
          <w:trHeight w:val="90" w:hRule="atLeast"/>
        </w:trPr>
        <w:tc>
          <w:tcPr>
            <w:tcW w:w="13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方案名称</w:t>
            </w:r>
          </w:p>
        </w:tc>
        <w:tc>
          <w:tcPr>
            <w:tcW w:w="13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方案描述</w:t>
            </w:r>
          </w:p>
        </w:tc>
        <w:tc>
          <w:tcPr>
            <w:tcW w:w="13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挖方量</w:t>
            </w:r>
          </w:p>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（m³）</w:t>
            </w:r>
          </w:p>
        </w:tc>
        <w:tc>
          <w:tcPr>
            <w:tcW w:w="13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填方量</w:t>
            </w:r>
          </w:p>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（m³）</w:t>
            </w:r>
          </w:p>
        </w:tc>
        <w:tc>
          <w:tcPr>
            <w:tcW w:w="13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外运量</w:t>
            </w:r>
          </w:p>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（m³）</w:t>
            </w:r>
          </w:p>
        </w:tc>
        <w:tc>
          <w:tcPr>
            <w:tcW w:w="137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外购量</w:t>
            </w:r>
          </w:p>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（m³）</w:t>
            </w: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方案一：</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方案二：</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w:t>
            </w: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c>
          <w:tcPr>
            <w:tcW w:w="0" w:type="auto"/>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eastAsia="宋体" w:cs="宋体"/>
                <w:color w:val="000000"/>
                <w:sz w:val="24"/>
              </w:rPr>
            </w:pPr>
          </w:p>
        </w:tc>
      </w:tr>
    </w:tbl>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r>
        <w:rPr>
          <w:rFonts w:hint="eastAsia" w:ascii="宋体" w:hAnsi="宋体" w:eastAsia="宋体" w:cs="宋体"/>
          <w:sz w:val="24"/>
        </w:rPr>
        <w:t>推荐方案：__________________ ，理由：__________________</w:t>
      </w:r>
    </w:p>
    <w:p>
      <w:pPr>
        <w:spacing w:line="360" w:lineRule="auto"/>
        <w:outlineLvl w:val="1"/>
        <w:rPr>
          <w:rFonts w:hint="eastAsia" w:ascii="宋体" w:hAnsi="宋体" w:eastAsia="宋体" w:cs="宋体"/>
          <w:b/>
          <w:bCs/>
          <w:sz w:val="24"/>
        </w:rPr>
      </w:pPr>
      <w:r>
        <w:rPr>
          <w:rFonts w:hint="eastAsia" w:ascii="宋体" w:hAnsi="宋体" w:eastAsia="宋体" w:cs="宋体"/>
          <w:b/>
          <w:bCs/>
          <w:sz w:val="24"/>
        </w:rPr>
        <w:t>2.2 土方平衡减量化策略</w:t>
      </w:r>
    </w:p>
    <w:p>
      <w:pPr>
        <w:spacing w:line="360" w:lineRule="auto"/>
        <w:ind w:firstLine="240" w:firstLineChars="100"/>
        <w:rPr>
          <w:rFonts w:hint="eastAsia" w:ascii="宋体" w:hAnsi="宋体" w:eastAsia="宋体" w:cs="宋体"/>
          <w:color w:val="C00000"/>
          <w:sz w:val="24"/>
          <w:u w:val="wave"/>
        </w:rPr>
      </w:pPr>
      <w:r>
        <w:rPr>
          <w:rFonts w:hint="eastAsia" w:ascii="宋体" w:hAnsi="宋体" w:eastAsia="宋体" w:cs="宋体"/>
          <w:color w:val="C00000"/>
          <w:sz w:val="24"/>
          <w:u w:val="wave"/>
        </w:rPr>
        <w:t>（依据指南第3.3.4条、3.3.5条）</w:t>
      </w:r>
    </w:p>
    <w:p>
      <w:pPr>
        <w:spacing w:line="360" w:lineRule="auto"/>
        <w:rPr>
          <w:rFonts w:hint="eastAsia" w:ascii="宋体" w:hAnsi="宋体" w:eastAsia="宋体" w:cs="宋体"/>
          <w:sz w:val="24"/>
        </w:rPr>
      </w:pPr>
      <w:r>
        <w:rPr>
          <w:rFonts w:hint="eastAsia" w:ascii="宋体" w:hAnsi="宋体" w:eastAsia="宋体" w:cs="宋体"/>
          <w:sz w:val="24"/>
        </w:rPr>
        <w:t>1、__________________</w:t>
      </w:r>
    </w:p>
    <w:p>
      <w:pPr>
        <w:spacing w:line="360" w:lineRule="auto"/>
        <w:rPr>
          <w:rFonts w:hint="eastAsia" w:ascii="宋体" w:hAnsi="宋体" w:eastAsia="宋体" w:cs="宋体"/>
          <w:sz w:val="24"/>
        </w:rPr>
      </w:pPr>
      <w:r>
        <w:rPr>
          <w:rFonts w:hint="eastAsia" w:ascii="宋体" w:hAnsi="宋体" w:eastAsia="宋体" w:cs="宋体"/>
          <w:sz w:val="24"/>
        </w:rPr>
        <w:t>2、__________________</w:t>
      </w:r>
    </w:p>
    <w:p>
      <w:pPr>
        <w:spacing w:line="360" w:lineRule="auto"/>
        <w:rPr>
          <w:rFonts w:hint="eastAsia" w:ascii="宋体" w:hAnsi="宋体" w:eastAsia="宋体" w:cs="宋体"/>
          <w:sz w:val="24"/>
        </w:rPr>
      </w:pPr>
      <w:r>
        <w:rPr>
          <w:rFonts w:hint="eastAsia" w:ascii="宋体" w:hAnsi="宋体" w:eastAsia="宋体" w:cs="宋体"/>
          <w:sz w:val="24"/>
        </w:rPr>
        <w:t>3、__________________</w:t>
      </w:r>
    </w:p>
    <w:p>
      <w:pPr>
        <w:spacing w:line="360" w:lineRule="auto"/>
        <w:rPr>
          <w:rFonts w:hint="eastAsia"/>
          <w:sz w:val="24"/>
        </w:rPr>
      </w:pPr>
    </w:p>
    <w:p>
      <w:pPr>
        <w:spacing w:line="360" w:lineRule="auto"/>
        <w:rPr>
          <w:rFonts w:hint="eastAsia"/>
          <w:sz w:val="24"/>
        </w:rPr>
      </w:pPr>
    </w:p>
    <w:p>
      <w:pPr>
        <w:spacing w:line="360" w:lineRule="auto"/>
        <w:rPr>
          <w:rFonts w:hint="eastAsia"/>
          <w:sz w:val="24"/>
        </w:rPr>
      </w:pPr>
    </w:p>
    <w:p>
      <w:pPr>
        <w:spacing w:line="360" w:lineRule="auto"/>
        <w:rPr>
          <w:rFonts w:hint="eastAsia"/>
          <w:sz w:val="24"/>
        </w:rPr>
      </w:pPr>
    </w:p>
    <w:p>
      <w:pPr>
        <w:spacing w:line="360" w:lineRule="auto"/>
        <w:rPr>
          <w:rFonts w:hint="eastAsia"/>
          <w:sz w:val="24"/>
        </w:rPr>
      </w:pPr>
    </w:p>
    <w:p>
      <w:pPr>
        <w:spacing w:line="360" w:lineRule="auto"/>
        <w:rPr>
          <w:rFonts w:hint="eastAsia"/>
          <w:sz w:val="24"/>
        </w:rPr>
      </w:pPr>
    </w:p>
    <w:p>
      <w:pPr>
        <w:spacing w:line="360" w:lineRule="auto"/>
        <w:rPr>
          <w:rFonts w:hint="eastAsia"/>
          <w:sz w:val="24"/>
        </w:rPr>
      </w:pPr>
    </w:p>
    <w:p>
      <w:pPr>
        <w:spacing w:line="360" w:lineRule="auto"/>
        <w:rPr>
          <w:rFonts w:hint="eastAsia"/>
          <w:sz w:val="24"/>
        </w:rPr>
      </w:pPr>
    </w:p>
    <w:p>
      <w:pPr>
        <w:spacing w:line="360" w:lineRule="auto"/>
        <w:rPr>
          <w:rFonts w:hint="eastAsia"/>
          <w:sz w:val="24"/>
        </w:rPr>
      </w:pPr>
    </w:p>
    <w:p>
      <w:pPr>
        <w:rPr>
          <w:rFonts w:hint="eastAsia"/>
          <w:b/>
          <w:bCs/>
          <w:sz w:val="28"/>
          <w:szCs w:val="28"/>
          <w:lang w:eastAsia="zh-CN"/>
        </w:rPr>
      </w:pPr>
      <w:r>
        <w:rPr>
          <w:rFonts w:hint="eastAsia"/>
          <w:b/>
          <w:bCs/>
          <w:sz w:val="28"/>
          <w:szCs w:val="28"/>
        </w:rPr>
        <w:br w:type="page"/>
      </w:r>
    </w:p>
    <w:p>
      <w:pPr>
        <w:numPr>
          <w:ilvl w:val="0"/>
          <w:numId w:val="2"/>
        </w:numPr>
        <w:spacing w:line="360" w:lineRule="auto"/>
        <w:ind w:left="0" w:leftChars="0" w:firstLine="0" w:firstLineChars="0"/>
        <w:jc w:val="center"/>
        <w:outlineLvl w:val="0"/>
        <w:rPr>
          <w:rFonts w:hint="eastAsia"/>
          <w:b/>
          <w:bCs/>
          <w:sz w:val="28"/>
          <w:szCs w:val="28"/>
          <w:lang w:eastAsia="zh-CN"/>
        </w:rPr>
      </w:pPr>
      <w:r>
        <w:rPr>
          <w:rFonts w:hint="eastAsia"/>
          <w:b/>
          <w:bCs/>
          <w:sz w:val="28"/>
          <w:szCs w:val="28"/>
        </w:rPr>
        <w:t>挖填方量测算表</w:t>
      </w:r>
    </w:p>
    <w:p>
      <w:pPr>
        <w:spacing w:line="360" w:lineRule="auto"/>
        <w:outlineLvl w:val="1"/>
        <w:rPr>
          <w:rFonts w:hint="eastAsia" w:ascii="宋体" w:hAnsi="宋体" w:eastAsia="宋体" w:cs="宋体"/>
          <w:b/>
          <w:bCs/>
          <w:sz w:val="24"/>
        </w:rPr>
      </w:pPr>
      <w:r>
        <w:rPr>
          <w:rFonts w:hint="eastAsia" w:ascii="宋体" w:hAnsi="宋体" w:eastAsia="宋体" w:cs="宋体"/>
          <w:b/>
          <w:bCs/>
          <w:sz w:val="24"/>
        </w:rPr>
        <w:t>3.1 挖方量测算（按土质分类）</w:t>
      </w:r>
    </w:p>
    <w:p>
      <w:pPr>
        <w:spacing w:line="360" w:lineRule="auto"/>
        <w:jc w:val="center"/>
        <w:rPr>
          <w:rFonts w:hint="default" w:ascii="宋体" w:hAnsi="宋体" w:eastAsia="宋体" w:cs="宋体"/>
          <w:b/>
          <w:bCs/>
          <w:sz w:val="24"/>
          <w:lang w:val="en-US" w:eastAsia="zh-CN"/>
        </w:rPr>
      </w:pPr>
      <w:r>
        <w:rPr>
          <w:rFonts w:hint="eastAsia" w:ascii="宋体" w:hAnsi="宋体" w:eastAsia="宋体" w:cs="宋体"/>
          <w:b/>
          <w:bCs/>
          <w:sz w:val="24"/>
        </w:rPr>
        <w:t>表4</w:t>
      </w:r>
      <w:r>
        <w:rPr>
          <w:rFonts w:hint="eastAsia" w:ascii="宋体" w:hAnsi="宋体" w:eastAsia="宋体" w:cs="宋体"/>
          <w:b/>
          <w:bCs/>
          <w:sz w:val="24"/>
          <w:lang w:val="en-US" w:eastAsia="zh-CN"/>
        </w:rPr>
        <w:t xml:space="preserve"> 挖方量测算表</w:t>
      </w:r>
    </w:p>
    <w:tbl>
      <w:tblPr>
        <w:tblStyle w:val="10"/>
        <w:tblW w:w="8356" w:type="dxa"/>
        <w:tblInd w:w="0" w:type="dxa"/>
        <w:tblLayout w:type="fixed"/>
        <w:tblCellMar>
          <w:top w:w="0" w:type="dxa"/>
          <w:left w:w="0" w:type="dxa"/>
          <w:bottom w:w="0" w:type="dxa"/>
          <w:right w:w="0" w:type="dxa"/>
        </w:tblCellMar>
      </w:tblPr>
      <w:tblGrid>
        <w:gridCol w:w="560"/>
        <w:gridCol w:w="1632"/>
        <w:gridCol w:w="968"/>
        <w:gridCol w:w="952"/>
        <w:gridCol w:w="985"/>
        <w:gridCol w:w="1217"/>
        <w:gridCol w:w="952"/>
        <w:gridCol w:w="1090"/>
      </w:tblGrid>
      <w:tr>
        <w:tblPrEx>
          <w:tblCellMar>
            <w:top w:w="0" w:type="dxa"/>
            <w:left w:w="0" w:type="dxa"/>
            <w:bottom w:w="0" w:type="dxa"/>
            <w:right w:w="0" w:type="dxa"/>
          </w:tblCellMar>
        </w:tblPrEx>
        <w:trPr>
          <w:trHeight w:val="489" w:hRule="atLeast"/>
        </w:trPr>
        <w:tc>
          <w:tcPr>
            <w:tcW w:w="560"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序号</w:t>
            </w:r>
          </w:p>
        </w:tc>
        <w:tc>
          <w:tcPr>
            <w:tcW w:w="1632"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挖方区域/部位</w:t>
            </w:r>
          </w:p>
        </w:tc>
        <w:tc>
          <w:tcPr>
            <w:tcW w:w="2905"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渣土</w:t>
            </w:r>
          </w:p>
        </w:tc>
        <w:tc>
          <w:tcPr>
            <w:tcW w:w="1217"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淤泥/泥浆</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（m³/t）</w:t>
            </w:r>
          </w:p>
        </w:tc>
        <w:tc>
          <w:tcPr>
            <w:tcW w:w="952"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小计</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（m³/t）</w:t>
            </w:r>
          </w:p>
        </w:tc>
        <w:tc>
          <w:tcPr>
            <w:tcW w:w="1090"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备注</w:t>
            </w:r>
          </w:p>
        </w:tc>
      </w:tr>
      <w:tr>
        <w:tblPrEx>
          <w:tblCellMar>
            <w:top w:w="0" w:type="dxa"/>
            <w:left w:w="0" w:type="dxa"/>
            <w:bottom w:w="0" w:type="dxa"/>
            <w:right w:w="0" w:type="dxa"/>
          </w:tblCellMar>
        </w:tblPrEx>
        <w:trPr>
          <w:trHeight w:val="489" w:hRule="atLeast"/>
        </w:trPr>
        <w:tc>
          <w:tcPr>
            <w:tcW w:w="560"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632"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表土</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（m³/t）</w:t>
            </w:r>
          </w:p>
        </w:tc>
        <w:tc>
          <w:tcPr>
            <w:tcW w:w="9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深层土</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（m³/t）</w:t>
            </w:r>
          </w:p>
        </w:tc>
        <w:tc>
          <w:tcPr>
            <w:tcW w:w="9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石方</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（m³/t）</w:t>
            </w:r>
          </w:p>
        </w:tc>
        <w:tc>
          <w:tcPr>
            <w:tcW w:w="1217"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52"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90"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89" w:hRule="atLeast"/>
        </w:trPr>
        <w:tc>
          <w:tcPr>
            <w:tcW w:w="5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w:t>
            </w:r>
          </w:p>
        </w:tc>
        <w:tc>
          <w:tcPr>
            <w:tcW w:w="163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场地平整挖方</w:t>
            </w:r>
          </w:p>
        </w:tc>
        <w:tc>
          <w:tcPr>
            <w:tcW w:w="9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21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89" w:hRule="atLeast"/>
        </w:trPr>
        <w:tc>
          <w:tcPr>
            <w:tcW w:w="5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163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基坑/基槽挖方</w:t>
            </w:r>
          </w:p>
        </w:tc>
        <w:tc>
          <w:tcPr>
            <w:tcW w:w="9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21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89" w:hRule="atLeast"/>
        </w:trPr>
        <w:tc>
          <w:tcPr>
            <w:tcW w:w="5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163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管线沟槽挖方</w:t>
            </w:r>
          </w:p>
        </w:tc>
        <w:tc>
          <w:tcPr>
            <w:tcW w:w="9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21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89" w:hRule="atLeast"/>
        </w:trPr>
        <w:tc>
          <w:tcPr>
            <w:tcW w:w="5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163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其他</w:t>
            </w:r>
          </w:p>
        </w:tc>
        <w:tc>
          <w:tcPr>
            <w:tcW w:w="9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21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282" w:hRule="atLeast"/>
        </w:trPr>
        <w:tc>
          <w:tcPr>
            <w:tcW w:w="2192"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挖方合计</w:t>
            </w:r>
          </w:p>
        </w:tc>
        <w:tc>
          <w:tcPr>
            <w:tcW w:w="9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21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99" w:hRule="atLeast"/>
        </w:trPr>
        <w:tc>
          <w:tcPr>
            <w:tcW w:w="8356" w:type="dxa"/>
            <w:gridSpan w:val="8"/>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说明:1、土方量应同时提供体积（m³）和质量（t）。</w:t>
            </w:r>
          </w:p>
        </w:tc>
      </w:tr>
    </w:tbl>
    <w:p>
      <w:pPr>
        <w:spacing w:line="360" w:lineRule="auto"/>
        <w:rPr>
          <w:rFonts w:hint="eastAsia" w:ascii="宋体" w:hAnsi="宋体" w:eastAsia="宋体" w:cs="宋体"/>
          <w:sz w:val="24"/>
        </w:rPr>
      </w:pPr>
    </w:p>
    <w:p>
      <w:pPr>
        <w:spacing w:line="360" w:lineRule="auto"/>
        <w:outlineLvl w:val="1"/>
        <w:rPr>
          <w:rFonts w:hint="eastAsia" w:ascii="宋体" w:hAnsi="宋体" w:eastAsia="宋体" w:cs="宋体"/>
          <w:b/>
          <w:bCs/>
          <w:sz w:val="24"/>
        </w:rPr>
      </w:pPr>
      <w:r>
        <w:rPr>
          <w:rFonts w:hint="eastAsia" w:ascii="宋体" w:hAnsi="宋体" w:eastAsia="宋体" w:cs="宋体"/>
          <w:b/>
          <w:bCs/>
          <w:sz w:val="24"/>
        </w:rPr>
        <w:t>3.2 填方量测算（按用途分类）</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b/>
          <w:bCs/>
          <w:i w:val="0"/>
          <w:color w:val="000000"/>
          <w:kern w:val="0"/>
          <w:sz w:val="24"/>
          <w:szCs w:val="24"/>
          <w:u w:val="none"/>
          <w:lang w:val="en-US" w:eastAsia="zh-CN" w:bidi="ar"/>
        </w:rPr>
      </w:pPr>
      <w:r>
        <w:rPr>
          <w:rFonts w:hint="eastAsia" w:ascii="宋体" w:hAnsi="宋体" w:eastAsia="宋体" w:cs="宋体"/>
          <w:b/>
          <w:bCs/>
          <w:i w:val="0"/>
          <w:color w:val="000000"/>
          <w:kern w:val="0"/>
          <w:sz w:val="24"/>
          <w:szCs w:val="24"/>
          <w:u w:val="none"/>
          <w:lang w:val="en-US" w:eastAsia="zh-CN" w:bidi="ar"/>
        </w:rPr>
        <w:t>表5 填方量测算表</w:t>
      </w:r>
    </w:p>
    <w:tbl>
      <w:tblPr>
        <w:tblStyle w:val="10"/>
        <w:tblW w:w="8357" w:type="dxa"/>
        <w:tblInd w:w="0" w:type="dxa"/>
        <w:tblLayout w:type="fixed"/>
        <w:tblCellMar>
          <w:top w:w="0" w:type="dxa"/>
          <w:left w:w="0" w:type="dxa"/>
          <w:bottom w:w="0" w:type="dxa"/>
          <w:right w:w="0" w:type="dxa"/>
        </w:tblCellMar>
      </w:tblPr>
      <w:tblGrid>
        <w:gridCol w:w="552"/>
        <w:gridCol w:w="1734"/>
        <w:gridCol w:w="1037"/>
        <w:gridCol w:w="1070"/>
        <w:gridCol w:w="1055"/>
        <w:gridCol w:w="1295"/>
        <w:gridCol w:w="943"/>
        <w:gridCol w:w="671"/>
      </w:tblGrid>
      <w:tr>
        <w:tblPrEx>
          <w:tblCellMar>
            <w:top w:w="0" w:type="dxa"/>
            <w:left w:w="0" w:type="dxa"/>
            <w:bottom w:w="0" w:type="dxa"/>
            <w:right w:w="0" w:type="dxa"/>
          </w:tblCellMar>
        </w:tblPrEx>
        <w:trPr>
          <w:trHeight w:val="416" w:hRule="atLeast"/>
        </w:trPr>
        <w:tc>
          <w:tcPr>
            <w:tcW w:w="552"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序号</w:t>
            </w:r>
          </w:p>
        </w:tc>
        <w:tc>
          <w:tcPr>
            <w:tcW w:w="1734"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填方区域/部位</w:t>
            </w:r>
          </w:p>
        </w:tc>
        <w:tc>
          <w:tcPr>
            <w:tcW w:w="3162" w:type="dxa"/>
            <w:gridSpan w:val="3"/>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渣土</w:t>
            </w:r>
          </w:p>
        </w:tc>
        <w:tc>
          <w:tcPr>
            <w:tcW w:w="1295"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改良土/泥浆/种植土/（m³/t）</w:t>
            </w:r>
          </w:p>
        </w:tc>
        <w:tc>
          <w:tcPr>
            <w:tcW w:w="943"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小计</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（m³/t）</w:t>
            </w:r>
          </w:p>
        </w:tc>
        <w:tc>
          <w:tcPr>
            <w:tcW w:w="671"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备注</w:t>
            </w:r>
          </w:p>
        </w:tc>
      </w:tr>
      <w:tr>
        <w:tblPrEx>
          <w:tblCellMar>
            <w:top w:w="0" w:type="dxa"/>
            <w:left w:w="0" w:type="dxa"/>
            <w:bottom w:w="0" w:type="dxa"/>
            <w:right w:w="0" w:type="dxa"/>
          </w:tblCellMar>
        </w:tblPrEx>
        <w:trPr>
          <w:trHeight w:val="953" w:hRule="atLeast"/>
        </w:trPr>
        <w:tc>
          <w:tcPr>
            <w:tcW w:w="552"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734"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表土回填（m³/t）</w:t>
            </w:r>
          </w:p>
        </w:tc>
        <w:tc>
          <w:tcPr>
            <w:tcW w:w="10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深层土回填（m³/t）</w:t>
            </w:r>
          </w:p>
        </w:tc>
        <w:tc>
          <w:tcPr>
            <w:tcW w:w="10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石方回填</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（m³/t）</w:t>
            </w:r>
          </w:p>
        </w:tc>
        <w:tc>
          <w:tcPr>
            <w:tcW w:w="1295"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43"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671"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89" w:hRule="atLeast"/>
        </w:trPr>
        <w:tc>
          <w:tcPr>
            <w:tcW w:w="5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w:t>
            </w: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场地平整填方</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89" w:hRule="atLeast"/>
        </w:trPr>
        <w:tc>
          <w:tcPr>
            <w:tcW w:w="5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基坑/基槽回填</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89" w:hRule="atLeast"/>
        </w:trPr>
        <w:tc>
          <w:tcPr>
            <w:tcW w:w="5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w:t>
            </w: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地下室顶板回填</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89" w:hRule="atLeast"/>
        </w:trPr>
        <w:tc>
          <w:tcPr>
            <w:tcW w:w="5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4</w:t>
            </w: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管线沟槽回填</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89" w:hRule="atLeast"/>
        </w:trPr>
        <w:tc>
          <w:tcPr>
            <w:tcW w:w="5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绿化种植土</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89" w:hRule="atLeast"/>
        </w:trPr>
        <w:tc>
          <w:tcPr>
            <w:tcW w:w="55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6</w:t>
            </w: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其他</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0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9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499" w:hRule="atLeast"/>
        </w:trPr>
        <w:tc>
          <w:tcPr>
            <w:tcW w:w="228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cs="宋体"/>
                <w:color w:val="000000"/>
                <w:sz w:val="24"/>
              </w:rPr>
            </w:pPr>
            <w:r>
              <w:rPr>
                <w:rFonts w:hint="eastAsia" w:ascii="宋体" w:hAnsi="宋体" w:cs="宋体"/>
                <w:color w:val="000000"/>
                <w:kern w:val="0"/>
                <w:sz w:val="24"/>
                <w:lang w:bidi="ar"/>
              </w:rPr>
              <w:t>填方合计</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cs="宋体"/>
                <w:color w:val="000000"/>
                <w:sz w:val="24"/>
              </w:rPr>
            </w:pPr>
          </w:p>
        </w:tc>
        <w:tc>
          <w:tcPr>
            <w:tcW w:w="10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cs="宋体"/>
                <w:color w:val="000000"/>
                <w:sz w:val="24"/>
              </w:rPr>
            </w:pPr>
          </w:p>
        </w:tc>
        <w:tc>
          <w:tcPr>
            <w:tcW w:w="10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cs="宋体"/>
                <w:color w:val="000000"/>
                <w:sz w:val="24"/>
              </w:rPr>
            </w:pPr>
          </w:p>
        </w:tc>
        <w:tc>
          <w:tcPr>
            <w:tcW w:w="129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cs="宋体"/>
                <w:color w:val="000000"/>
                <w:sz w:val="24"/>
              </w:rPr>
            </w:pPr>
          </w:p>
        </w:tc>
        <w:tc>
          <w:tcPr>
            <w:tcW w:w="94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cs="宋体"/>
                <w:color w:val="000000"/>
                <w:sz w:val="24"/>
              </w:rPr>
            </w:pPr>
          </w:p>
        </w:tc>
        <w:tc>
          <w:tcPr>
            <w:tcW w:w="67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rPr>
                <w:rFonts w:hint="eastAsia" w:ascii="宋体" w:hAnsi="宋体" w:cs="宋体"/>
                <w:color w:val="000000"/>
                <w:sz w:val="24"/>
              </w:rPr>
            </w:pPr>
          </w:p>
        </w:tc>
      </w:tr>
    </w:tbl>
    <w:p>
      <w:pP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center"/>
        <w:outlineLvl w:val="1"/>
        <w:rPr>
          <w:rFonts w:hint="eastAsia" w:ascii="宋体" w:hAnsi="宋体" w:eastAsia="宋体" w:cs="宋体"/>
          <w:b/>
          <w:bCs/>
          <w:i w:val="0"/>
          <w:color w:val="000000"/>
          <w:kern w:val="0"/>
          <w:sz w:val="24"/>
          <w:szCs w:val="24"/>
          <w:u w:val="none"/>
          <w:lang w:val="en-US" w:eastAsia="zh-CN" w:bidi="ar"/>
        </w:rPr>
      </w:pPr>
      <w:r>
        <w:rPr>
          <w:rFonts w:hint="eastAsia" w:ascii="宋体" w:hAnsi="宋体" w:eastAsia="宋体" w:cs="宋体"/>
          <w:b/>
          <w:bCs/>
          <w:i w:val="0"/>
          <w:color w:val="000000"/>
          <w:kern w:val="0"/>
          <w:sz w:val="24"/>
          <w:szCs w:val="24"/>
          <w:u w:val="none"/>
          <w:lang w:val="en-US" w:eastAsia="zh-CN" w:bidi="ar"/>
        </w:rPr>
        <w:t>3.3 可利用土体场内利用</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outlineLvl w:val="0"/>
        <w:rPr>
          <w:rFonts w:hint="default" w:ascii="宋体" w:hAnsi="宋体" w:eastAsia="宋体" w:cs="宋体"/>
          <w:b/>
          <w:bCs/>
          <w:i w:val="0"/>
          <w:color w:val="000000"/>
          <w:kern w:val="0"/>
          <w:sz w:val="24"/>
          <w:szCs w:val="24"/>
          <w:u w:val="none"/>
          <w:lang w:val="en-US" w:eastAsia="zh-CN" w:bidi="ar"/>
        </w:rPr>
      </w:pPr>
      <w:r>
        <w:rPr>
          <w:rFonts w:hint="eastAsia" w:ascii="宋体" w:hAnsi="宋体" w:eastAsia="宋体" w:cs="宋体"/>
          <w:b/>
          <w:bCs/>
          <w:i w:val="0"/>
          <w:color w:val="000000"/>
          <w:kern w:val="0"/>
          <w:sz w:val="24"/>
          <w:szCs w:val="24"/>
          <w:u w:val="none"/>
          <w:lang w:val="en-US" w:eastAsia="zh-CN" w:bidi="ar"/>
        </w:rPr>
        <w:t>表6 土体场内利用表</w:t>
      </w:r>
    </w:p>
    <w:tbl>
      <w:tblPr>
        <w:tblStyle w:val="10"/>
        <w:tblW w:w="8095" w:type="dxa"/>
        <w:tblInd w:w="-15" w:type="dxa"/>
        <w:tblLayout w:type="fixed"/>
        <w:tblCellMar>
          <w:top w:w="0" w:type="dxa"/>
          <w:left w:w="0" w:type="dxa"/>
          <w:bottom w:w="0" w:type="dxa"/>
          <w:right w:w="0" w:type="dxa"/>
        </w:tblCellMar>
      </w:tblPr>
      <w:tblGrid>
        <w:gridCol w:w="982"/>
        <w:gridCol w:w="1724"/>
        <w:gridCol w:w="3263"/>
        <w:gridCol w:w="2126"/>
      </w:tblGrid>
      <w:tr>
        <w:tblPrEx>
          <w:tblCellMar>
            <w:top w:w="0" w:type="dxa"/>
            <w:left w:w="0" w:type="dxa"/>
            <w:bottom w:w="0" w:type="dxa"/>
            <w:right w:w="0" w:type="dxa"/>
          </w:tblCellMar>
        </w:tblPrEx>
        <w:trPr>
          <w:trHeight w:val="415" w:hRule="atLeast"/>
        </w:trPr>
        <w:tc>
          <w:tcPr>
            <w:tcW w:w="2706"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土体类型</w:t>
            </w:r>
          </w:p>
        </w:tc>
        <w:tc>
          <w:tcPr>
            <w:tcW w:w="32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拟利用方式</w:t>
            </w:r>
          </w:p>
        </w:tc>
        <w:tc>
          <w:tcPr>
            <w:tcW w:w="21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预估利用量（m³/t）</w:t>
            </w:r>
          </w:p>
        </w:tc>
      </w:tr>
      <w:tr>
        <w:tblPrEx>
          <w:tblCellMar>
            <w:top w:w="0" w:type="dxa"/>
            <w:left w:w="0" w:type="dxa"/>
            <w:bottom w:w="0" w:type="dxa"/>
            <w:right w:w="0" w:type="dxa"/>
          </w:tblCellMar>
        </w:tblPrEx>
        <w:trPr>
          <w:trHeight w:val="517" w:hRule="atLeast"/>
        </w:trPr>
        <w:tc>
          <w:tcPr>
            <w:tcW w:w="982"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工程渣土</w:t>
            </w:r>
          </w:p>
        </w:tc>
        <w:tc>
          <w:tcPr>
            <w:tcW w:w="172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优质表土</w:t>
            </w:r>
          </w:p>
        </w:tc>
        <w:tc>
          <w:tcPr>
            <w:tcW w:w="32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绿化种植土/景观造坡</w:t>
            </w:r>
          </w:p>
        </w:tc>
        <w:tc>
          <w:tcPr>
            <w:tcW w:w="21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517" w:hRule="atLeast"/>
        </w:trPr>
        <w:tc>
          <w:tcPr>
            <w:tcW w:w="982" w:type="dxa"/>
            <w:vMerge w:val="continue"/>
            <w:tcBorders>
              <w:left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72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深层优质原状土</w:t>
            </w:r>
          </w:p>
        </w:tc>
        <w:tc>
          <w:tcPr>
            <w:tcW w:w="32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场地回填/路基填筑/景观造坡</w:t>
            </w:r>
          </w:p>
        </w:tc>
        <w:tc>
          <w:tcPr>
            <w:tcW w:w="21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517" w:hRule="atLeast"/>
        </w:trPr>
        <w:tc>
          <w:tcPr>
            <w:tcW w:w="982" w:type="dxa"/>
            <w:vMerge w:val="continue"/>
            <w:tcBorders>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172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风化岩/石方</w:t>
            </w:r>
          </w:p>
        </w:tc>
        <w:tc>
          <w:tcPr>
            <w:tcW w:w="32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碎石垫层/场地硬化</w:t>
            </w:r>
          </w:p>
        </w:tc>
        <w:tc>
          <w:tcPr>
            <w:tcW w:w="21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CellMar>
            <w:top w:w="0" w:type="dxa"/>
            <w:left w:w="0" w:type="dxa"/>
            <w:bottom w:w="0" w:type="dxa"/>
            <w:right w:w="0" w:type="dxa"/>
          </w:tblCellMar>
        </w:tblPrEx>
        <w:trPr>
          <w:trHeight w:val="537" w:hRule="atLeast"/>
        </w:trPr>
        <w:tc>
          <w:tcPr>
            <w:tcW w:w="2706"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泥浆</w:t>
            </w:r>
          </w:p>
        </w:tc>
        <w:tc>
          <w:tcPr>
            <w:tcW w:w="32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固化处理后回填</w:t>
            </w:r>
          </w:p>
        </w:tc>
        <w:tc>
          <w:tcPr>
            <w:tcW w:w="21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bl>
    <w:p>
      <w:pPr>
        <w:spacing w:line="360" w:lineRule="auto"/>
        <w:rPr>
          <w:rFonts w:hint="eastAsia"/>
          <w:sz w:val="24"/>
        </w:rPr>
      </w:pPr>
    </w:p>
    <w:p>
      <w:pPr>
        <w:numPr>
          <w:ilvl w:val="0"/>
          <w:numId w:val="2"/>
        </w:numPr>
        <w:spacing w:line="360" w:lineRule="auto"/>
        <w:jc w:val="center"/>
        <w:outlineLvl w:val="0"/>
        <w:rPr>
          <w:rFonts w:hint="eastAsia"/>
          <w:b/>
          <w:bCs/>
          <w:sz w:val="24"/>
        </w:rPr>
      </w:pPr>
      <w:r>
        <w:rPr>
          <w:rFonts w:hint="eastAsia"/>
          <w:b/>
          <w:bCs/>
          <w:sz w:val="28"/>
          <w:szCs w:val="28"/>
        </w:rPr>
        <w:t>土方平衡计算</w:t>
      </w:r>
    </w:p>
    <w:p>
      <w:pPr>
        <w:spacing w:line="360" w:lineRule="auto"/>
        <w:outlineLvl w:val="1"/>
        <w:rPr>
          <w:rFonts w:hint="eastAsia" w:ascii="宋体" w:hAnsi="宋体" w:eastAsia="宋体" w:cs="宋体"/>
          <w:b/>
          <w:bCs/>
          <w:sz w:val="24"/>
        </w:rPr>
      </w:pPr>
      <w:r>
        <w:rPr>
          <w:rFonts w:hint="eastAsia" w:ascii="宋体" w:hAnsi="宋体" w:eastAsia="宋体" w:cs="宋体"/>
          <w:b/>
          <w:bCs/>
          <w:sz w:val="24"/>
        </w:rPr>
        <w:t>4.1</w:t>
      </w:r>
      <w:r>
        <w:rPr>
          <w:rFonts w:hint="eastAsia" w:ascii="宋体" w:hAnsi="宋体" w:eastAsia="宋体" w:cs="宋体"/>
          <w:b/>
          <w:bCs/>
          <w:sz w:val="24"/>
          <w:szCs w:val="24"/>
        </w:rPr>
        <w:t>土方平衡汇总表</w:t>
      </w:r>
    </w:p>
    <w:p>
      <w:pPr>
        <w:spacing w:line="360" w:lineRule="auto"/>
        <w:jc w:val="center"/>
        <w:outlineLvl w:val="0"/>
        <w:rPr>
          <w:rFonts w:hint="default" w:ascii="宋体" w:hAnsi="宋体" w:eastAsia="宋体" w:cs="宋体"/>
          <w:b/>
          <w:bCs/>
          <w:sz w:val="24"/>
          <w:lang w:val="en-US" w:eastAsia="zh-CN"/>
        </w:rPr>
      </w:pPr>
      <w:r>
        <w:rPr>
          <w:rFonts w:hint="eastAsia" w:ascii="宋体" w:hAnsi="宋体" w:eastAsia="宋体" w:cs="宋体"/>
          <w:b/>
          <w:bCs/>
          <w:sz w:val="24"/>
        </w:rPr>
        <w:t>表7</w:t>
      </w:r>
      <w:r>
        <w:rPr>
          <w:rFonts w:hint="eastAsia" w:ascii="宋体" w:hAnsi="宋体" w:eastAsia="宋体" w:cs="宋体"/>
          <w:b/>
          <w:bCs/>
          <w:sz w:val="24"/>
          <w:lang w:val="en-US" w:eastAsia="zh-CN"/>
        </w:rPr>
        <w:t xml:space="preserve"> 土方平衡汇总表</w:t>
      </w:r>
    </w:p>
    <w:tbl>
      <w:tblPr>
        <w:tblStyle w:val="10"/>
        <w:tblW w:w="8304" w:type="dxa"/>
        <w:tblInd w:w="2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67"/>
        <w:gridCol w:w="2044"/>
        <w:gridCol w:w="1037"/>
        <w:gridCol w:w="32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2" w:hRule="atLeast"/>
        </w:trPr>
        <w:tc>
          <w:tcPr>
            <w:tcW w:w="401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数值</w:t>
            </w:r>
          </w:p>
        </w:tc>
        <w:tc>
          <w:tcPr>
            <w:tcW w:w="32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2" w:hRule="atLeast"/>
        </w:trPr>
        <w:tc>
          <w:tcPr>
            <w:tcW w:w="1967"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总挖方量（m³</w:t>
            </w:r>
            <w:r>
              <w:rPr>
                <w:rFonts w:hint="eastAsia" w:ascii="宋体" w:hAnsi="宋体" w:cs="宋体"/>
                <w:i w:val="0"/>
                <w:color w:val="000000"/>
                <w:kern w:val="0"/>
                <w:sz w:val="24"/>
                <w:szCs w:val="24"/>
                <w:u w:val="none"/>
                <w:lang w:val="en-US" w:eastAsia="zh-CN" w:bidi="ar"/>
              </w:rPr>
              <w:t>/t</w:t>
            </w:r>
            <w:r>
              <w:rPr>
                <w:rFonts w:hint="eastAsia" w:ascii="宋体" w:hAnsi="宋体" w:eastAsia="宋体" w:cs="宋体"/>
                <w:i w:val="0"/>
                <w:color w:val="000000"/>
                <w:kern w:val="0"/>
                <w:sz w:val="24"/>
                <w:szCs w:val="24"/>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（A）</w:t>
            </w:r>
          </w:p>
        </w:tc>
        <w:tc>
          <w:tcPr>
            <w:tcW w:w="20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场内利用量</w:t>
            </w:r>
            <w:r>
              <w:rPr>
                <w:rFonts w:hint="eastAsia" w:ascii="宋体" w:hAnsi="宋体" w:cs="宋体"/>
                <w:i w:val="0"/>
                <w:color w:val="000000"/>
                <w:kern w:val="0"/>
                <w:sz w:val="24"/>
                <w:szCs w:val="24"/>
                <w:u w:val="none"/>
                <w:lang w:val="en-US" w:eastAsia="zh-CN" w:bidi="ar"/>
              </w:rPr>
              <w:t>（A1）</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sz w:val="24"/>
                <w:szCs w:val="24"/>
                <w:u w:val="none"/>
              </w:rPr>
            </w:pPr>
          </w:p>
        </w:tc>
        <w:tc>
          <w:tcPr>
            <w:tcW w:w="32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cs="宋体"/>
                <w:i w:val="0"/>
                <w:color w:val="000000"/>
                <w:sz w:val="24"/>
                <w:szCs w:val="24"/>
                <w:u w:val="none"/>
                <w:lang w:val="en-US" w:eastAsia="zh-CN"/>
              </w:rPr>
            </w:pPr>
            <w:r>
              <w:rPr>
                <w:rFonts w:hint="eastAsia" w:ascii="宋体" w:hAnsi="宋体" w:cs="宋体"/>
                <w:i w:val="0"/>
                <w:color w:val="000000"/>
                <w:sz w:val="24"/>
                <w:szCs w:val="24"/>
                <w:u w:val="none"/>
                <w:lang w:val="en-US" w:eastAsia="zh-CN"/>
              </w:rPr>
              <w:t>等于B1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2" w:hRule="atLeast"/>
        </w:trPr>
        <w:tc>
          <w:tcPr>
            <w:tcW w:w="1967"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20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val="en-US" w:eastAsia="zh-CN" w:bidi="ar"/>
              </w:rPr>
              <w:t>需外运处置量</w:t>
            </w:r>
            <w:r>
              <w:rPr>
                <w:rFonts w:hint="eastAsia" w:ascii="宋体" w:hAnsi="宋体" w:cs="宋体"/>
                <w:i w:val="0"/>
                <w:color w:val="000000"/>
                <w:kern w:val="0"/>
                <w:sz w:val="24"/>
                <w:szCs w:val="24"/>
                <w:u w:val="none"/>
                <w:lang w:val="en-US" w:eastAsia="zh-CN" w:bidi="ar"/>
              </w:rPr>
              <w:t>（A2）</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sz w:val="24"/>
                <w:szCs w:val="24"/>
                <w:u w:val="none"/>
              </w:rPr>
            </w:pPr>
          </w:p>
        </w:tc>
        <w:tc>
          <w:tcPr>
            <w:tcW w:w="32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含表土、深层土、石方等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2" w:hRule="atLeast"/>
        </w:trPr>
        <w:tc>
          <w:tcPr>
            <w:tcW w:w="1967"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总填方量（m³/t）</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（B）</w:t>
            </w:r>
          </w:p>
        </w:tc>
        <w:tc>
          <w:tcPr>
            <w:tcW w:w="20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场内利用量（B1）</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32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实际场内消化利用量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2" w:hRule="atLeast"/>
        </w:trPr>
        <w:tc>
          <w:tcPr>
            <w:tcW w:w="1967"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204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外运进量（B2）</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32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3" w:hRule="atLeast"/>
        </w:trPr>
        <w:tc>
          <w:tcPr>
            <w:tcW w:w="401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挖填差（A-B）</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32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正值为余土，负值为缺土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3" w:hRule="atLeast"/>
        </w:trPr>
        <w:tc>
          <w:tcPr>
            <w:tcW w:w="401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自平衡率</w:t>
            </w:r>
          </w:p>
        </w:tc>
        <w:tc>
          <w:tcPr>
            <w:tcW w:w="10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i w:val="0"/>
                <w:color w:val="000000"/>
                <w:kern w:val="0"/>
                <w:sz w:val="24"/>
                <w:szCs w:val="24"/>
                <w:u w:val="none"/>
                <w:lang w:val="en-US" w:eastAsia="zh-CN" w:bidi="ar"/>
              </w:rPr>
            </w:pPr>
          </w:p>
        </w:tc>
        <w:tc>
          <w:tcPr>
            <w:tcW w:w="325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=（场内利用量/总挖方量)*100%</w:t>
            </w:r>
          </w:p>
        </w:tc>
      </w:tr>
    </w:tbl>
    <w:p>
      <w:pPr>
        <w:spacing w:line="360" w:lineRule="auto"/>
        <w:rPr>
          <w:sz w:val="24"/>
        </w:rPr>
      </w:pPr>
    </w:p>
    <w:p>
      <w:pPr>
        <w:rPr>
          <w:rFonts w:hint="eastAsia"/>
          <w:sz w:val="24"/>
        </w:rPr>
      </w:pPr>
      <w:r>
        <w:rPr>
          <w:sz w:val="24"/>
        </w:rPr>
        <w:br w:type="page"/>
      </w:r>
    </w:p>
    <w:p>
      <w:pPr>
        <w:numPr>
          <w:ilvl w:val="0"/>
          <w:numId w:val="2"/>
        </w:numPr>
        <w:spacing w:line="360" w:lineRule="auto"/>
        <w:ind w:left="0" w:leftChars="0" w:firstLine="0" w:firstLineChars="0"/>
        <w:jc w:val="center"/>
        <w:outlineLvl w:val="0"/>
        <w:rPr>
          <w:rFonts w:hint="eastAsia"/>
          <w:b/>
          <w:bCs/>
          <w:sz w:val="28"/>
          <w:szCs w:val="28"/>
        </w:rPr>
      </w:pPr>
      <w:r>
        <w:rPr>
          <w:rFonts w:hint="eastAsia"/>
          <w:b/>
          <w:bCs/>
          <w:sz w:val="28"/>
          <w:szCs w:val="28"/>
        </w:rPr>
        <w:t>建筑垃圾预估量及处置路径</w:t>
      </w:r>
    </w:p>
    <w:p>
      <w:pPr>
        <w:spacing w:line="360" w:lineRule="auto"/>
        <w:outlineLvl w:val="1"/>
        <w:rPr>
          <w:rFonts w:hint="eastAsia" w:ascii="宋体" w:hAnsi="宋体" w:eastAsia="宋体" w:cs="宋体"/>
          <w:b/>
          <w:bCs/>
          <w:sz w:val="24"/>
        </w:rPr>
      </w:pPr>
      <w:r>
        <w:rPr>
          <w:rFonts w:hint="eastAsia" w:ascii="宋体" w:hAnsi="宋体" w:eastAsia="宋体" w:cs="宋体"/>
          <w:b/>
          <w:bCs/>
          <w:sz w:val="24"/>
        </w:rPr>
        <w:t>5.1 建筑垃圾产生量预估</w:t>
      </w:r>
    </w:p>
    <w:p>
      <w:pPr>
        <w:spacing w:line="360" w:lineRule="auto"/>
        <w:ind w:firstLine="240" w:firstLineChars="100"/>
        <w:rPr>
          <w:rFonts w:hint="eastAsia" w:ascii="宋体" w:hAnsi="宋体" w:eastAsia="宋体" w:cs="宋体"/>
          <w:color w:val="C00000"/>
          <w:sz w:val="24"/>
          <w:u w:val="wave"/>
        </w:rPr>
      </w:pPr>
      <w:bookmarkStart w:id="1" w:name="OLE_LINK2"/>
      <w:r>
        <w:rPr>
          <w:rFonts w:hint="eastAsia" w:ascii="宋体" w:hAnsi="宋体" w:eastAsia="宋体" w:cs="宋体"/>
          <w:color w:val="C00000"/>
          <w:sz w:val="24"/>
          <w:u w:val="wave"/>
        </w:rPr>
        <w:t>（依据指南第2.0.1条、第3.3.3条）</w:t>
      </w:r>
    </w:p>
    <w:bookmarkEnd w:id="1"/>
    <w:p>
      <w:pPr>
        <w:spacing w:line="360" w:lineRule="auto"/>
        <w:jc w:val="center"/>
        <w:rPr>
          <w:rFonts w:hint="default" w:ascii="宋体" w:hAnsi="宋体" w:eastAsia="宋体" w:cs="宋体"/>
          <w:b/>
          <w:bCs/>
          <w:sz w:val="24"/>
          <w:lang w:val="en-US" w:eastAsia="zh-CN"/>
        </w:rPr>
      </w:pPr>
      <w:r>
        <w:rPr>
          <w:rFonts w:hint="eastAsia" w:ascii="宋体" w:hAnsi="宋体" w:eastAsia="宋体" w:cs="宋体"/>
          <w:b/>
          <w:bCs/>
          <w:sz w:val="24"/>
        </w:rPr>
        <w:t>表</w:t>
      </w:r>
      <w:r>
        <w:rPr>
          <w:rFonts w:hint="eastAsia" w:ascii="宋体" w:hAnsi="宋体" w:eastAsia="宋体" w:cs="宋体"/>
          <w:b/>
          <w:bCs/>
          <w:sz w:val="24"/>
          <w:lang w:val="en-US" w:eastAsia="zh-CN"/>
        </w:rPr>
        <w:t>8 建筑垃圾产生量预估表</w:t>
      </w:r>
    </w:p>
    <w:tbl>
      <w:tblPr>
        <w:tblStyle w:val="10"/>
        <w:tblW w:w="8336" w:type="dxa"/>
        <w:tblInd w:w="0" w:type="dxa"/>
        <w:tblLayout w:type="fixed"/>
        <w:tblCellMar>
          <w:top w:w="0" w:type="dxa"/>
          <w:left w:w="0" w:type="dxa"/>
          <w:bottom w:w="0" w:type="dxa"/>
          <w:right w:w="0" w:type="dxa"/>
        </w:tblCellMar>
      </w:tblPr>
      <w:tblGrid>
        <w:gridCol w:w="1506"/>
        <w:gridCol w:w="1380"/>
        <w:gridCol w:w="3463"/>
        <w:gridCol w:w="1987"/>
      </w:tblGrid>
      <w:tr>
        <w:tblPrEx>
          <w:tblCellMar>
            <w:top w:w="0" w:type="dxa"/>
            <w:left w:w="0" w:type="dxa"/>
            <w:bottom w:w="0" w:type="dxa"/>
            <w:right w:w="0" w:type="dxa"/>
          </w:tblCellMar>
        </w:tblPrEx>
        <w:trPr>
          <w:trHeight w:val="270" w:hRule="atLeast"/>
        </w:trPr>
        <w:tc>
          <w:tcPr>
            <w:tcW w:w="150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建筑垃圾类别</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预估产生量</w:t>
            </w:r>
          </w:p>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（m³/t）</w:t>
            </w:r>
          </w:p>
        </w:tc>
        <w:tc>
          <w:tcPr>
            <w:tcW w:w="34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产生环节</w:t>
            </w:r>
          </w:p>
        </w:tc>
        <w:tc>
          <w:tcPr>
            <w:tcW w:w="198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主要成分</w:t>
            </w:r>
          </w:p>
        </w:tc>
      </w:tr>
      <w:tr>
        <w:tblPrEx>
          <w:tblCellMar>
            <w:top w:w="0" w:type="dxa"/>
            <w:left w:w="0" w:type="dxa"/>
            <w:bottom w:w="0" w:type="dxa"/>
            <w:right w:w="0" w:type="dxa"/>
          </w:tblCellMar>
        </w:tblPrEx>
        <w:trPr>
          <w:trHeight w:val="270" w:hRule="atLeast"/>
        </w:trPr>
        <w:tc>
          <w:tcPr>
            <w:tcW w:w="150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工程渣土</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34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lang w:val="en-US" w:eastAsia="zh-CN"/>
              </w:rPr>
            </w:pPr>
            <w:r>
              <w:rPr>
                <w:rFonts w:hint="eastAsia" w:ascii="宋体" w:hAnsi="宋体" w:eastAsia="宋体" w:cs="宋体"/>
                <w:color w:val="000000"/>
                <w:kern w:val="0"/>
                <w:sz w:val="24"/>
                <w:lang w:bidi="ar"/>
              </w:rPr>
              <w:t>场地平整、基坑开挖</w:t>
            </w:r>
            <w:r>
              <w:rPr>
                <w:rFonts w:hint="eastAsia" w:ascii="宋体" w:hAnsi="宋体" w:eastAsia="宋体" w:cs="宋体"/>
                <w:color w:val="000000"/>
                <w:kern w:val="0"/>
                <w:sz w:val="24"/>
                <w:lang w:val="en-US" w:eastAsia="zh-CN" w:bidi="ar"/>
              </w:rPr>
              <w:t>等</w:t>
            </w:r>
          </w:p>
        </w:tc>
        <w:tc>
          <w:tcPr>
            <w:tcW w:w="198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lang w:val="en-US" w:eastAsia="zh-CN"/>
              </w:rPr>
            </w:pPr>
            <w:r>
              <w:rPr>
                <w:rFonts w:hint="eastAsia" w:ascii="宋体" w:hAnsi="宋体" w:eastAsia="宋体" w:cs="宋体"/>
                <w:color w:val="000000"/>
                <w:kern w:val="0"/>
                <w:sz w:val="24"/>
                <w:lang w:bidi="ar"/>
              </w:rPr>
              <w:t>土壤、风化岩</w:t>
            </w:r>
            <w:r>
              <w:rPr>
                <w:rFonts w:hint="eastAsia" w:ascii="宋体" w:hAnsi="宋体" w:eastAsia="宋体" w:cs="宋体"/>
                <w:color w:val="000000"/>
                <w:kern w:val="0"/>
                <w:sz w:val="24"/>
                <w:lang w:val="en-US" w:eastAsia="zh-CN" w:bidi="ar"/>
              </w:rPr>
              <w:t>等</w:t>
            </w:r>
          </w:p>
        </w:tc>
      </w:tr>
      <w:tr>
        <w:tblPrEx>
          <w:tblCellMar>
            <w:top w:w="0" w:type="dxa"/>
            <w:left w:w="0" w:type="dxa"/>
            <w:bottom w:w="0" w:type="dxa"/>
            <w:right w:w="0" w:type="dxa"/>
          </w:tblCellMar>
        </w:tblPrEx>
        <w:trPr>
          <w:trHeight w:val="270" w:hRule="atLeast"/>
        </w:trPr>
        <w:tc>
          <w:tcPr>
            <w:tcW w:w="150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工程泥浆</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34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lang w:val="en-US" w:eastAsia="zh-CN"/>
              </w:rPr>
            </w:pPr>
            <w:r>
              <w:rPr>
                <w:rFonts w:hint="eastAsia" w:ascii="宋体" w:hAnsi="宋体" w:eastAsia="宋体" w:cs="宋体"/>
                <w:color w:val="000000"/>
                <w:kern w:val="0"/>
                <w:sz w:val="24"/>
                <w:lang w:val="en-US" w:eastAsia="zh-CN" w:bidi="ar"/>
              </w:rPr>
              <w:t>盾构、</w:t>
            </w:r>
            <w:r>
              <w:rPr>
                <w:rFonts w:hint="eastAsia" w:ascii="宋体" w:hAnsi="宋体" w:eastAsia="宋体" w:cs="宋体"/>
                <w:color w:val="000000"/>
                <w:kern w:val="0"/>
                <w:sz w:val="24"/>
                <w:lang w:bidi="ar"/>
              </w:rPr>
              <w:t>桩基</w:t>
            </w:r>
            <w:r>
              <w:rPr>
                <w:rFonts w:hint="eastAsia" w:ascii="宋体" w:hAnsi="宋体" w:eastAsia="宋体" w:cs="宋体"/>
                <w:color w:val="000000"/>
                <w:kern w:val="0"/>
                <w:sz w:val="24"/>
                <w:lang w:val="en-US" w:eastAsia="zh-CN" w:bidi="ar"/>
              </w:rPr>
              <w:t>及</w:t>
            </w:r>
            <w:r>
              <w:rPr>
                <w:rFonts w:hint="eastAsia" w:ascii="宋体" w:hAnsi="宋体" w:eastAsia="宋体" w:cs="宋体"/>
                <w:color w:val="000000"/>
                <w:kern w:val="0"/>
                <w:sz w:val="24"/>
                <w:lang w:bidi="ar"/>
              </w:rPr>
              <w:t>地下连续墙</w:t>
            </w:r>
            <w:r>
              <w:rPr>
                <w:rFonts w:hint="eastAsia" w:ascii="宋体" w:hAnsi="宋体" w:eastAsia="宋体" w:cs="宋体"/>
                <w:color w:val="000000"/>
                <w:kern w:val="0"/>
                <w:sz w:val="24"/>
                <w:lang w:val="en-US" w:eastAsia="zh-CN" w:bidi="ar"/>
              </w:rPr>
              <w:t>施工等</w:t>
            </w:r>
          </w:p>
        </w:tc>
        <w:tc>
          <w:tcPr>
            <w:tcW w:w="198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lang w:val="en-US" w:eastAsia="zh-CN"/>
              </w:rPr>
            </w:pPr>
            <w:r>
              <w:rPr>
                <w:rFonts w:hint="eastAsia" w:ascii="宋体" w:hAnsi="宋体" w:eastAsia="宋体" w:cs="宋体"/>
                <w:color w:val="000000"/>
                <w:kern w:val="0"/>
                <w:sz w:val="24"/>
                <w:lang w:bidi="ar"/>
              </w:rPr>
              <w:t>黏土、水</w:t>
            </w:r>
            <w:r>
              <w:rPr>
                <w:rFonts w:hint="eastAsia" w:ascii="宋体" w:hAnsi="宋体" w:eastAsia="宋体" w:cs="宋体"/>
                <w:color w:val="000000"/>
                <w:kern w:val="0"/>
                <w:sz w:val="24"/>
                <w:lang w:val="en-US" w:eastAsia="zh-CN" w:bidi="ar"/>
              </w:rPr>
              <w:t>等</w:t>
            </w:r>
          </w:p>
        </w:tc>
      </w:tr>
      <w:tr>
        <w:tblPrEx>
          <w:tblCellMar>
            <w:top w:w="0" w:type="dxa"/>
            <w:left w:w="0" w:type="dxa"/>
            <w:bottom w:w="0" w:type="dxa"/>
            <w:right w:w="0" w:type="dxa"/>
          </w:tblCellMar>
        </w:tblPrEx>
        <w:trPr>
          <w:trHeight w:val="270" w:hRule="atLeast"/>
        </w:trPr>
        <w:tc>
          <w:tcPr>
            <w:tcW w:w="150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拆除垃圾</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34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lang w:val="en-US" w:eastAsia="zh-CN"/>
              </w:rPr>
            </w:pPr>
            <w:r>
              <w:rPr>
                <w:rFonts w:hint="eastAsia" w:ascii="宋体" w:hAnsi="宋体" w:eastAsia="宋体" w:cs="宋体"/>
                <w:color w:val="000000"/>
                <w:kern w:val="0"/>
                <w:sz w:val="24"/>
                <w:lang w:bidi="ar"/>
              </w:rPr>
              <w:t>既有设施拆除</w:t>
            </w:r>
            <w:r>
              <w:rPr>
                <w:rFonts w:hint="eastAsia" w:ascii="宋体" w:hAnsi="宋体" w:eastAsia="宋体" w:cs="宋体"/>
                <w:color w:val="000000"/>
                <w:kern w:val="0"/>
                <w:sz w:val="24"/>
                <w:lang w:eastAsia="zh-CN" w:bidi="ar"/>
              </w:rPr>
              <w:t>、</w:t>
            </w:r>
            <w:r>
              <w:rPr>
                <w:rFonts w:hint="eastAsia" w:ascii="宋体" w:hAnsi="宋体" w:eastAsia="宋体" w:cs="宋体"/>
                <w:color w:val="000000"/>
                <w:kern w:val="0"/>
                <w:sz w:val="24"/>
                <w:lang w:val="en-US" w:eastAsia="zh-CN" w:bidi="ar"/>
              </w:rPr>
              <w:t>临时设施拆除等</w:t>
            </w:r>
          </w:p>
        </w:tc>
        <w:tc>
          <w:tcPr>
            <w:tcW w:w="198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lang w:val="en-US" w:eastAsia="zh-CN"/>
              </w:rPr>
            </w:pPr>
            <w:r>
              <w:rPr>
                <w:rFonts w:hint="eastAsia" w:ascii="宋体" w:hAnsi="宋体" w:eastAsia="宋体" w:cs="宋体"/>
                <w:color w:val="000000"/>
                <w:kern w:val="0"/>
                <w:sz w:val="24"/>
                <w:lang w:bidi="ar"/>
              </w:rPr>
              <w:t>混凝土、砖石</w:t>
            </w:r>
            <w:r>
              <w:rPr>
                <w:rFonts w:hint="eastAsia" w:ascii="宋体" w:hAnsi="宋体" w:eastAsia="宋体" w:cs="宋体"/>
                <w:color w:val="000000"/>
                <w:kern w:val="0"/>
                <w:sz w:val="24"/>
                <w:lang w:val="en-US" w:eastAsia="zh-CN" w:bidi="ar"/>
              </w:rPr>
              <w:t>等</w:t>
            </w:r>
          </w:p>
        </w:tc>
      </w:tr>
      <w:tr>
        <w:tblPrEx>
          <w:tblCellMar>
            <w:top w:w="0" w:type="dxa"/>
            <w:left w:w="0" w:type="dxa"/>
            <w:bottom w:w="0" w:type="dxa"/>
            <w:right w:w="0" w:type="dxa"/>
          </w:tblCellMar>
        </w:tblPrEx>
        <w:trPr>
          <w:trHeight w:val="270" w:hRule="atLeast"/>
        </w:trPr>
        <w:tc>
          <w:tcPr>
            <w:tcW w:w="150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其他</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34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98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150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合计</w:t>
            </w:r>
          </w:p>
        </w:tc>
        <w:tc>
          <w:tcPr>
            <w:tcW w:w="13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346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98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r>
    </w:tbl>
    <w:p>
      <w:pPr>
        <w:spacing w:line="360" w:lineRule="auto"/>
        <w:rPr>
          <w:rFonts w:hint="eastAsia" w:ascii="宋体" w:hAnsi="宋体" w:eastAsia="宋体" w:cs="宋体"/>
          <w:sz w:val="24"/>
        </w:rPr>
      </w:pPr>
    </w:p>
    <w:p>
      <w:pPr>
        <w:spacing w:line="360" w:lineRule="auto"/>
        <w:outlineLvl w:val="1"/>
        <w:rPr>
          <w:rFonts w:hint="eastAsia" w:ascii="宋体" w:hAnsi="宋体" w:eastAsia="宋体" w:cs="宋体"/>
          <w:b/>
          <w:bCs/>
          <w:sz w:val="24"/>
        </w:rPr>
      </w:pPr>
      <w:r>
        <w:rPr>
          <w:rFonts w:hint="eastAsia" w:ascii="宋体" w:hAnsi="宋体" w:eastAsia="宋体" w:cs="宋体"/>
          <w:b/>
          <w:bCs/>
          <w:sz w:val="24"/>
        </w:rPr>
        <w:t>5.2 建筑垃圾处置路径说明</w:t>
      </w:r>
    </w:p>
    <w:p>
      <w:pPr>
        <w:spacing w:line="360" w:lineRule="auto"/>
        <w:jc w:val="center"/>
        <w:outlineLvl w:val="0"/>
        <w:rPr>
          <w:rFonts w:hint="default" w:ascii="宋体" w:hAnsi="宋体" w:eastAsia="宋体" w:cs="宋体"/>
          <w:b/>
          <w:bCs/>
          <w:sz w:val="24"/>
          <w:lang w:val="en-US" w:eastAsia="zh-CN"/>
        </w:rPr>
      </w:pPr>
      <w:r>
        <w:rPr>
          <w:rFonts w:hint="eastAsia" w:ascii="宋体" w:hAnsi="宋体" w:eastAsia="宋体" w:cs="宋体"/>
          <w:b/>
          <w:bCs/>
          <w:sz w:val="24"/>
        </w:rPr>
        <w:t>表</w:t>
      </w:r>
      <w:r>
        <w:rPr>
          <w:rFonts w:hint="eastAsia" w:ascii="宋体" w:hAnsi="宋体" w:eastAsia="宋体" w:cs="宋体"/>
          <w:b/>
          <w:bCs/>
          <w:sz w:val="24"/>
          <w:lang w:val="en-US" w:eastAsia="zh-CN"/>
        </w:rPr>
        <w:t>9 建筑垃圾处置路径表</w:t>
      </w:r>
    </w:p>
    <w:tbl>
      <w:tblPr>
        <w:tblStyle w:val="10"/>
        <w:tblW w:w="8336" w:type="dxa"/>
        <w:tblInd w:w="0" w:type="dxa"/>
        <w:tblLayout w:type="fixed"/>
        <w:tblCellMar>
          <w:top w:w="0" w:type="dxa"/>
          <w:left w:w="0" w:type="dxa"/>
          <w:bottom w:w="0" w:type="dxa"/>
          <w:right w:w="0" w:type="dxa"/>
        </w:tblCellMar>
      </w:tblPr>
      <w:tblGrid>
        <w:gridCol w:w="1548"/>
        <w:gridCol w:w="2212"/>
        <w:gridCol w:w="921"/>
        <w:gridCol w:w="1033"/>
        <w:gridCol w:w="1033"/>
        <w:gridCol w:w="1589"/>
      </w:tblGrid>
      <w:tr>
        <w:tblPrEx>
          <w:tblCellMar>
            <w:top w:w="0" w:type="dxa"/>
            <w:left w:w="0" w:type="dxa"/>
            <w:bottom w:w="0" w:type="dxa"/>
            <w:right w:w="0" w:type="dxa"/>
          </w:tblCellMar>
        </w:tblPrEx>
        <w:trPr>
          <w:trHeight w:val="270" w:hRule="atLeast"/>
        </w:trPr>
        <w:tc>
          <w:tcPr>
            <w:tcW w:w="15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垃圾类别</w:t>
            </w:r>
          </w:p>
        </w:tc>
        <w:tc>
          <w:tcPr>
            <w:tcW w:w="22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处置方式</w:t>
            </w:r>
          </w:p>
        </w:tc>
        <w:tc>
          <w:tcPr>
            <w:tcW w:w="9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处置量</w:t>
            </w:r>
          </w:p>
          <w:p>
            <w:pPr>
              <w:widowControl/>
              <w:spacing w:line="360" w:lineRule="auto"/>
              <w:jc w:val="center"/>
              <w:textAlignment w:val="center"/>
              <w:rPr>
                <w:rFonts w:hint="eastAsia" w:ascii="宋体" w:hAnsi="宋体" w:eastAsia="宋体" w:cs="宋体"/>
                <w:color w:val="000000"/>
                <w:kern w:val="0"/>
                <w:sz w:val="24"/>
                <w:lang w:bidi="ar"/>
              </w:rPr>
            </w:pPr>
            <w:r>
              <w:rPr>
                <w:rFonts w:hint="eastAsia" w:ascii="宋体" w:hAnsi="宋体" w:eastAsia="宋体" w:cs="宋体"/>
                <w:i w:val="0"/>
                <w:color w:val="000000"/>
                <w:kern w:val="0"/>
                <w:sz w:val="24"/>
                <w:szCs w:val="24"/>
                <w:u w:val="none"/>
                <w:lang w:val="en-US" w:eastAsia="zh-CN" w:bidi="ar"/>
              </w:rPr>
              <w:t>（m³/t）</w:t>
            </w: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处置去向</w:t>
            </w: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运输距离</w:t>
            </w:r>
          </w:p>
        </w:tc>
        <w:tc>
          <w:tcPr>
            <w:tcW w:w="15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符合性说明</w:t>
            </w:r>
          </w:p>
        </w:tc>
      </w:tr>
      <w:tr>
        <w:tblPrEx>
          <w:tblCellMar>
            <w:top w:w="0" w:type="dxa"/>
            <w:left w:w="0" w:type="dxa"/>
            <w:bottom w:w="0" w:type="dxa"/>
            <w:right w:w="0" w:type="dxa"/>
          </w:tblCellMar>
        </w:tblPrEx>
        <w:trPr>
          <w:trHeight w:val="270" w:hRule="atLeast"/>
        </w:trPr>
        <w:tc>
          <w:tcPr>
            <w:tcW w:w="1548"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工程渣土</w:t>
            </w:r>
          </w:p>
        </w:tc>
        <w:tc>
          <w:tcPr>
            <w:tcW w:w="22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场内回填利用</w:t>
            </w:r>
          </w:p>
        </w:tc>
        <w:tc>
          <w:tcPr>
            <w:tcW w:w="9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本场地</w:t>
            </w: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p>
        </w:tc>
        <w:tc>
          <w:tcPr>
            <w:tcW w:w="15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符合3.3.4条</w:t>
            </w:r>
          </w:p>
        </w:tc>
      </w:tr>
      <w:tr>
        <w:tblPrEx>
          <w:tblCellMar>
            <w:top w:w="0" w:type="dxa"/>
            <w:left w:w="0" w:type="dxa"/>
            <w:bottom w:w="0" w:type="dxa"/>
            <w:right w:w="0" w:type="dxa"/>
          </w:tblCellMar>
        </w:tblPrEx>
        <w:trPr>
          <w:trHeight w:val="270" w:hRule="atLeast"/>
        </w:trPr>
        <w:tc>
          <w:tcPr>
            <w:tcW w:w="1548"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p>
        </w:tc>
        <w:tc>
          <w:tcPr>
            <w:tcW w:w="22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lang w:eastAsia="zh-CN"/>
              </w:rPr>
            </w:pPr>
            <w:r>
              <w:rPr>
                <w:rFonts w:hint="eastAsia" w:ascii="宋体" w:hAnsi="宋体" w:eastAsia="宋体" w:cs="宋体"/>
                <w:color w:val="000000"/>
                <w:kern w:val="0"/>
                <w:sz w:val="24"/>
                <w:lang w:bidi="ar"/>
              </w:rPr>
              <w:t>外运</w:t>
            </w:r>
            <w:r>
              <w:rPr>
                <w:rFonts w:hint="eastAsia" w:ascii="宋体" w:hAnsi="宋体" w:eastAsia="宋体" w:cs="宋体"/>
                <w:color w:val="000000"/>
                <w:kern w:val="0"/>
                <w:sz w:val="24"/>
                <w:lang w:val="en-US" w:eastAsia="zh-CN" w:bidi="ar"/>
              </w:rPr>
              <w:t>处置</w:t>
            </w:r>
          </w:p>
        </w:tc>
        <w:tc>
          <w:tcPr>
            <w:tcW w:w="9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km</w:t>
            </w:r>
          </w:p>
        </w:tc>
        <w:tc>
          <w:tcPr>
            <w:tcW w:w="15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符合2.0.12条</w:t>
            </w:r>
          </w:p>
        </w:tc>
      </w:tr>
      <w:tr>
        <w:tblPrEx>
          <w:tblCellMar>
            <w:top w:w="0" w:type="dxa"/>
            <w:left w:w="0" w:type="dxa"/>
            <w:bottom w:w="0" w:type="dxa"/>
            <w:right w:w="0" w:type="dxa"/>
          </w:tblCellMar>
        </w:tblPrEx>
        <w:trPr>
          <w:trHeight w:val="270" w:hRule="atLeast"/>
        </w:trPr>
        <w:tc>
          <w:tcPr>
            <w:tcW w:w="1548"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工程泥浆</w:t>
            </w:r>
          </w:p>
        </w:tc>
        <w:tc>
          <w:tcPr>
            <w:tcW w:w="22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现场固化处理后回填</w:t>
            </w:r>
          </w:p>
        </w:tc>
        <w:tc>
          <w:tcPr>
            <w:tcW w:w="9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本场地</w:t>
            </w: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p>
        </w:tc>
        <w:tc>
          <w:tcPr>
            <w:tcW w:w="15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符合5.2.7条</w:t>
            </w:r>
          </w:p>
        </w:tc>
      </w:tr>
      <w:tr>
        <w:tblPrEx>
          <w:tblCellMar>
            <w:top w:w="0" w:type="dxa"/>
            <w:left w:w="0" w:type="dxa"/>
            <w:bottom w:w="0" w:type="dxa"/>
            <w:right w:w="0" w:type="dxa"/>
          </w:tblCellMar>
        </w:tblPrEx>
        <w:trPr>
          <w:trHeight w:val="270" w:hRule="atLeast"/>
        </w:trPr>
        <w:tc>
          <w:tcPr>
            <w:tcW w:w="1548"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p>
        </w:tc>
        <w:tc>
          <w:tcPr>
            <w:tcW w:w="22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外运处置</w:t>
            </w:r>
          </w:p>
        </w:tc>
        <w:tc>
          <w:tcPr>
            <w:tcW w:w="9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km</w:t>
            </w:r>
          </w:p>
        </w:tc>
        <w:tc>
          <w:tcPr>
            <w:tcW w:w="15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1548" w:type="dxa"/>
            <w:vMerge w:val="restart"/>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石方/混凝土</w:t>
            </w:r>
          </w:p>
        </w:tc>
        <w:tc>
          <w:tcPr>
            <w:tcW w:w="22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现场破碎再生利用</w:t>
            </w:r>
          </w:p>
        </w:tc>
        <w:tc>
          <w:tcPr>
            <w:tcW w:w="9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本场地</w:t>
            </w: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p>
        </w:tc>
        <w:tc>
          <w:tcPr>
            <w:tcW w:w="15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符合8.3.2条</w:t>
            </w:r>
          </w:p>
        </w:tc>
      </w:tr>
      <w:tr>
        <w:tblPrEx>
          <w:tblCellMar>
            <w:top w:w="0" w:type="dxa"/>
            <w:left w:w="0" w:type="dxa"/>
            <w:bottom w:w="0" w:type="dxa"/>
            <w:right w:w="0" w:type="dxa"/>
          </w:tblCellMar>
        </w:tblPrEx>
        <w:trPr>
          <w:trHeight w:val="270" w:hRule="atLeast"/>
        </w:trPr>
        <w:tc>
          <w:tcPr>
            <w:tcW w:w="1548" w:type="dxa"/>
            <w:vMerge w:val="continue"/>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kern w:val="0"/>
                <w:sz w:val="24"/>
                <w:lang w:bidi="ar"/>
              </w:rPr>
            </w:pPr>
          </w:p>
        </w:tc>
        <w:tc>
          <w:tcPr>
            <w:tcW w:w="22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外运处置</w:t>
            </w:r>
          </w:p>
        </w:tc>
        <w:tc>
          <w:tcPr>
            <w:tcW w:w="9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km</w:t>
            </w:r>
          </w:p>
        </w:tc>
        <w:tc>
          <w:tcPr>
            <w:tcW w:w="15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15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其他建筑垃圾</w:t>
            </w:r>
          </w:p>
        </w:tc>
        <w:tc>
          <w:tcPr>
            <w:tcW w:w="22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分类回收/外运处置</w:t>
            </w:r>
          </w:p>
        </w:tc>
        <w:tc>
          <w:tcPr>
            <w:tcW w:w="9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km</w:t>
            </w:r>
          </w:p>
        </w:tc>
        <w:tc>
          <w:tcPr>
            <w:tcW w:w="15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r>
      <w:tr>
        <w:tblPrEx>
          <w:tblCellMar>
            <w:top w:w="0" w:type="dxa"/>
            <w:left w:w="0" w:type="dxa"/>
            <w:bottom w:w="0" w:type="dxa"/>
            <w:right w:w="0" w:type="dxa"/>
          </w:tblCellMar>
        </w:tblPrEx>
        <w:trPr>
          <w:trHeight w:val="270" w:hRule="atLeast"/>
        </w:trPr>
        <w:tc>
          <w:tcPr>
            <w:tcW w:w="15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spacing w:line="360" w:lineRule="auto"/>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合计</w:t>
            </w:r>
          </w:p>
        </w:tc>
        <w:tc>
          <w:tcPr>
            <w:tcW w:w="22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9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0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c>
          <w:tcPr>
            <w:tcW w:w="158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line="360" w:lineRule="auto"/>
              <w:jc w:val="center"/>
              <w:rPr>
                <w:rFonts w:hint="eastAsia" w:ascii="宋体" w:hAnsi="宋体" w:eastAsia="宋体" w:cs="宋体"/>
                <w:color w:val="000000"/>
                <w:sz w:val="24"/>
              </w:rPr>
            </w:pPr>
          </w:p>
        </w:tc>
      </w:tr>
    </w:tbl>
    <w:p>
      <w:pPr>
        <w:spacing w:line="360" w:lineRule="auto"/>
        <w:rPr>
          <w:rFonts w:hint="eastAsia"/>
          <w:sz w:val="24"/>
        </w:rPr>
      </w:pPr>
    </w:p>
    <w:p>
      <w:pPr>
        <w:rPr>
          <w:rFonts w:hint="eastAsia" w:asciiTheme="minorEastAsia" w:hAnsiTheme="minorEastAsia" w:eastAsiaTheme="minorEastAsia" w:cstheme="minorEastAsia"/>
          <w:b/>
          <w:bCs/>
          <w:sz w:val="28"/>
          <w:szCs w:val="28"/>
          <w:lang w:val="en-US" w:eastAsia="zh-CN"/>
        </w:rPr>
      </w:pPr>
    </w:p>
    <w:p>
      <w:pPr>
        <w:numPr>
          <w:ilvl w:val="0"/>
          <w:numId w:val="2"/>
        </w:numPr>
        <w:spacing w:line="360" w:lineRule="auto"/>
        <w:ind w:left="0" w:leftChars="0" w:firstLine="0" w:firstLineChars="0"/>
        <w:jc w:val="center"/>
        <w:outlineLvl w:val="0"/>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土方平衡评价</w:t>
      </w:r>
    </w:p>
    <w:p>
      <w:pPr>
        <w:pStyle w:val="18"/>
        <w:spacing w:line="360" w:lineRule="auto"/>
        <w:ind w:left="0" w:leftChars="0" w:firstLine="0" w:firstLineChars="0"/>
        <w:outlineLvl w:val="1"/>
        <w:rPr>
          <w:rFonts w:ascii="Times New Roman" w:hAnsi="Times New Roman" w:eastAsia="宋体"/>
          <w:b/>
          <w:bCs/>
          <w:sz w:val="24"/>
          <w:szCs w:val="28"/>
        </w:rPr>
      </w:pPr>
      <w:bookmarkStart w:id="2" w:name="_Toc10060"/>
      <w:r>
        <w:rPr>
          <w:rFonts w:hint="eastAsia" w:ascii="Times New Roman" w:hAnsi="Times New Roman" w:eastAsia="宋体"/>
          <w:b/>
          <w:bCs/>
          <w:sz w:val="24"/>
          <w:szCs w:val="28"/>
          <w:lang w:val="en-US" w:eastAsia="zh-CN"/>
        </w:rPr>
        <w:t>6.1</w:t>
      </w:r>
      <w:r>
        <w:rPr>
          <w:rFonts w:hint="eastAsia" w:ascii="Times New Roman" w:hAnsi="Times New Roman" w:eastAsia="宋体"/>
          <w:b/>
          <w:bCs/>
          <w:sz w:val="24"/>
          <w:szCs w:val="28"/>
        </w:rPr>
        <w:t>对项目平面布置的总体评价</w:t>
      </w:r>
      <w:bookmarkEnd w:id="2"/>
    </w:p>
    <w:p>
      <w:pPr>
        <w:pStyle w:val="18"/>
        <w:spacing w:line="360" w:lineRule="auto"/>
        <w:ind w:firstLine="480"/>
        <w:rPr>
          <w:rFonts w:ascii="Times New Roman" w:hAnsi="Times New Roman" w:eastAsia="宋体"/>
          <w:sz w:val="24"/>
          <w:szCs w:val="28"/>
        </w:rPr>
      </w:pPr>
      <w:r>
        <w:rPr>
          <w:rFonts w:hint="eastAsia" w:ascii="Times New Roman" w:hAnsi="Times New Roman" w:eastAsia="宋体"/>
          <w:sz w:val="24"/>
          <w:szCs w:val="28"/>
        </w:rPr>
        <w:t>XXX。</w:t>
      </w:r>
    </w:p>
    <w:p>
      <w:pPr>
        <w:pStyle w:val="18"/>
        <w:spacing w:line="360" w:lineRule="auto"/>
        <w:ind w:left="0" w:leftChars="0" w:firstLine="0" w:firstLineChars="0"/>
        <w:outlineLvl w:val="1"/>
        <w:rPr>
          <w:rFonts w:ascii="Times New Roman" w:hAnsi="Times New Roman" w:eastAsia="宋体"/>
          <w:b/>
          <w:bCs/>
          <w:sz w:val="24"/>
          <w:szCs w:val="28"/>
        </w:rPr>
      </w:pPr>
      <w:bookmarkStart w:id="3" w:name="_Toc18385"/>
      <w:r>
        <w:rPr>
          <w:rFonts w:hint="eastAsia" w:ascii="Times New Roman" w:hAnsi="Times New Roman" w:eastAsia="宋体"/>
          <w:b/>
          <w:bCs/>
          <w:sz w:val="24"/>
          <w:szCs w:val="28"/>
          <w:lang w:val="en-US" w:eastAsia="zh-CN"/>
        </w:rPr>
        <w:t>6.2</w:t>
      </w:r>
      <w:r>
        <w:rPr>
          <w:rFonts w:hint="eastAsia" w:ascii="Times New Roman" w:hAnsi="Times New Roman" w:eastAsia="宋体"/>
          <w:b/>
          <w:bCs/>
          <w:sz w:val="24"/>
          <w:szCs w:val="28"/>
        </w:rPr>
        <w:t>对项目竖向布置的总体评价</w:t>
      </w:r>
      <w:bookmarkEnd w:id="3"/>
    </w:p>
    <w:p>
      <w:pPr>
        <w:pStyle w:val="18"/>
        <w:spacing w:line="360" w:lineRule="auto"/>
        <w:ind w:firstLine="480"/>
        <w:rPr>
          <w:rFonts w:ascii="Times New Roman" w:hAnsi="Times New Roman" w:eastAsia="宋体"/>
          <w:sz w:val="24"/>
          <w:szCs w:val="28"/>
        </w:rPr>
      </w:pPr>
      <w:r>
        <w:rPr>
          <w:rFonts w:hint="eastAsia" w:ascii="Times New Roman" w:hAnsi="Times New Roman" w:eastAsia="宋体"/>
          <w:sz w:val="24"/>
          <w:szCs w:val="28"/>
        </w:rPr>
        <w:t>XXX。</w:t>
      </w:r>
    </w:p>
    <w:p>
      <w:pPr>
        <w:pStyle w:val="18"/>
        <w:numPr>
          <w:ilvl w:val="0"/>
          <w:numId w:val="0"/>
        </w:numPr>
        <w:spacing w:line="360" w:lineRule="auto"/>
        <w:ind w:leftChars="0"/>
        <w:outlineLvl w:val="1"/>
        <w:rPr>
          <w:rFonts w:hint="eastAsia" w:ascii="Times New Roman" w:hAnsi="Times New Roman" w:eastAsia="宋体"/>
          <w:b/>
          <w:bCs/>
          <w:sz w:val="24"/>
          <w:szCs w:val="28"/>
        </w:rPr>
      </w:pPr>
      <w:bookmarkStart w:id="4" w:name="_Toc14055"/>
      <w:r>
        <w:rPr>
          <w:rFonts w:hint="eastAsia" w:ascii="Times New Roman" w:hAnsi="Times New Roman" w:eastAsia="宋体"/>
          <w:b/>
          <w:bCs/>
          <w:sz w:val="24"/>
          <w:szCs w:val="28"/>
          <w:lang w:val="en-US" w:eastAsia="zh-CN"/>
        </w:rPr>
        <w:t>6.3</w:t>
      </w:r>
      <w:r>
        <w:rPr>
          <w:rFonts w:hint="eastAsia" w:ascii="Times New Roman" w:hAnsi="Times New Roman" w:eastAsia="宋体" w:cs="Times New Roman"/>
          <w:b/>
          <w:bCs/>
          <w:color w:val="auto"/>
          <w:sz w:val="24"/>
          <w:szCs w:val="28"/>
          <w:lang w:val="en-US" w:eastAsia="zh-CN"/>
        </w:rPr>
        <w:t>基础</w:t>
      </w:r>
      <w:r>
        <w:rPr>
          <w:rFonts w:hint="eastAsia" w:ascii="Times New Roman" w:hAnsi="Times New Roman" w:eastAsia="宋体"/>
          <w:b/>
          <w:bCs/>
          <w:color w:val="auto"/>
          <w:sz w:val="24"/>
          <w:szCs w:val="28"/>
          <w:lang w:val="en-US" w:eastAsia="zh-CN"/>
        </w:rPr>
        <w:t>设计方案、</w:t>
      </w:r>
      <w:r>
        <w:rPr>
          <w:rFonts w:hint="eastAsia" w:ascii="Times New Roman" w:hAnsi="Times New Roman" w:eastAsia="宋体"/>
          <w:b/>
          <w:bCs/>
          <w:sz w:val="24"/>
          <w:szCs w:val="28"/>
        </w:rPr>
        <w:t>土方平衡计算复核总结</w:t>
      </w:r>
      <w:bookmarkEnd w:id="4"/>
    </w:p>
    <w:p>
      <w:pPr>
        <w:pStyle w:val="18"/>
        <w:spacing w:line="360" w:lineRule="auto"/>
        <w:ind w:firstLine="480"/>
        <w:rPr>
          <w:rFonts w:hint="default" w:ascii="Times New Roman" w:hAnsi="Times New Roman" w:eastAsia="宋体" w:cs="Times New Roman"/>
          <w:sz w:val="24"/>
          <w:szCs w:val="28"/>
          <w:lang w:val="en-US" w:eastAsia="zh-CN"/>
        </w:rPr>
      </w:pPr>
      <w:r>
        <w:rPr>
          <w:rFonts w:hint="eastAsia" w:ascii="Times New Roman" w:hAnsi="Times New Roman" w:eastAsia="宋体" w:cs="Times New Roman"/>
          <w:sz w:val="24"/>
          <w:szCs w:val="28"/>
          <w:lang w:val="en-US" w:eastAsia="zh-CN"/>
        </w:rPr>
        <w:t>（1）基础与基坑设计方案</w:t>
      </w:r>
    </w:p>
    <w:p>
      <w:pPr>
        <w:pStyle w:val="18"/>
        <w:spacing w:line="360" w:lineRule="auto"/>
        <w:ind w:firstLine="480"/>
        <w:rPr>
          <w:rFonts w:hint="eastAsia" w:ascii="Times New Roman" w:hAnsi="Times New Roman" w:eastAsia="宋体"/>
          <w:color w:val="C00000"/>
          <w:sz w:val="24"/>
          <w:szCs w:val="28"/>
          <w:u w:val="wave"/>
          <w:lang w:val="en-US" w:eastAsia="zh-CN"/>
        </w:rPr>
      </w:pPr>
      <w:r>
        <w:rPr>
          <w:rFonts w:hint="eastAsia" w:ascii="Times New Roman" w:hAnsi="Times New Roman" w:eastAsia="宋体"/>
          <w:color w:val="C00000"/>
          <w:sz w:val="24"/>
          <w:szCs w:val="28"/>
          <w:u w:val="wave"/>
        </w:rPr>
        <w:t>本项目基础</w:t>
      </w:r>
      <w:r>
        <w:rPr>
          <w:rFonts w:hint="eastAsia" w:ascii="Times New Roman" w:hAnsi="Times New Roman" w:eastAsia="宋体"/>
          <w:color w:val="C00000"/>
          <w:sz w:val="24"/>
          <w:szCs w:val="28"/>
          <w:u w:val="wave"/>
          <w:lang w:val="en-US" w:eastAsia="zh-CN"/>
        </w:rPr>
        <w:t>形式</w:t>
      </w:r>
      <w:r>
        <w:rPr>
          <w:rFonts w:hint="eastAsia" w:ascii="Times New Roman" w:hAnsi="Times New Roman" w:eastAsia="宋体"/>
          <w:color w:val="C00000"/>
          <w:sz w:val="24"/>
          <w:szCs w:val="28"/>
          <w:u w:val="wave"/>
        </w:rPr>
        <w:t>：</w:t>
      </w:r>
      <w:r>
        <w:rPr>
          <w:rFonts w:hint="eastAsia" w:ascii="Times New Roman" w:hAnsi="Times New Roman" w:eastAsia="宋体"/>
          <w:color w:val="C00000"/>
          <w:sz w:val="24"/>
          <w:szCs w:val="28"/>
          <w:u w:val="wave"/>
          <w:lang w:val="en-US" w:eastAsia="zh-CN"/>
        </w:rPr>
        <w:t>XXX；</w:t>
      </w:r>
    </w:p>
    <w:p>
      <w:pPr>
        <w:pStyle w:val="18"/>
        <w:spacing w:line="360" w:lineRule="auto"/>
        <w:ind w:firstLine="480"/>
        <w:rPr>
          <w:rFonts w:hint="default" w:ascii="Times New Roman" w:hAnsi="Times New Roman" w:eastAsia="宋体"/>
          <w:color w:val="C00000"/>
          <w:sz w:val="24"/>
          <w:szCs w:val="28"/>
          <w:u w:val="wave"/>
          <w:lang w:val="en-US" w:eastAsia="zh-CN"/>
        </w:rPr>
      </w:pPr>
      <w:r>
        <w:rPr>
          <w:rFonts w:hint="eastAsia" w:ascii="Times New Roman" w:hAnsi="Times New Roman" w:eastAsia="宋体"/>
          <w:color w:val="C00000"/>
          <w:sz w:val="24"/>
          <w:szCs w:val="28"/>
          <w:u w:val="wave"/>
          <w:lang w:val="en-US" w:eastAsia="zh-CN"/>
        </w:rPr>
        <w:t>基坑围护方案：XXX。</w:t>
      </w:r>
    </w:p>
    <w:p>
      <w:pPr>
        <w:pStyle w:val="18"/>
        <w:spacing w:line="360" w:lineRule="auto"/>
        <w:ind w:firstLine="480"/>
        <w:rPr>
          <w:rFonts w:hint="eastAsia" w:ascii="Times New Roman" w:hAnsi="Times New Roman" w:eastAsia="宋体"/>
          <w:color w:val="C00000"/>
          <w:sz w:val="24"/>
          <w:szCs w:val="28"/>
          <w:u w:val="wave"/>
        </w:rPr>
      </w:pPr>
      <w:r>
        <w:rPr>
          <w:rFonts w:hint="eastAsia" w:ascii="Times New Roman" w:hAnsi="Times New Roman" w:eastAsia="宋体"/>
          <w:color w:val="C00000"/>
          <w:sz w:val="24"/>
          <w:szCs w:val="28"/>
          <w:u w:val="wave"/>
          <w:lang w:val="en-US" w:eastAsia="zh-CN"/>
        </w:rPr>
        <w:t>项目基础形式及基坑围护方案适配场地地质条件，通过方案优化实现了工程渣土源头减量，符合指南源头减量化要求</w:t>
      </w:r>
      <w:r>
        <w:rPr>
          <w:rFonts w:hint="eastAsia" w:ascii="Times New Roman" w:hAnsi="Times New Roman" w:eastAsia="宋体"/>
          <w:color w:val="C00000"/>
          <w:sz w:val="24"/>
          <w:szCs w:val="28"/>
          <w:u w:val="wave"/>
        </w:rPr>
        <w:t>。</w:t>
      </w:r>
    </w:p>
    <w:p>
      <w:pPr>
        <w:pStyle w:val="18"/>
        <w:spacing w:line="360" w:lineRule="auto"/>
        <w:ind w:firstLine="480"/>
        <w:rPr>
          <w:rFonts w:hint="eastAsia" w:ascii="Times New Roman" w:hAnsi="Times New Roman" w:eastAsia="宋体" w:cs="Times New Roman"/>
          <w:sz w:val="24"/>
          <w:szCs w:val="28"/>
          <w:lang w:val="en-US" w:eastAsia="zh-CN"/>
        </w:rPr>
      </w:pPr>
      <w:r>
        <w:rPr>
          <w:rFonts w:hint="eastAsia" w:ascii="Times New Roman" w:hAnsi="Times New Roman" w:eastAsia="宋体" w:cs="Times New Roman"/>
          <w:sz w:val="24"/>
          <w:szCs w:val="28"/>
          <w:lang w:val="en-US" w:eastAsia="zh-CN"/>
        </w:rPr>
        <w:t>（2）土方平衡复核</w:t>
      </w:r>
    </w:p>
    <w:p>
      <w:pPr>
        <w:pStyle w:val="18"/>
        <w:spacing w:line="360" w:lineRule="auto"/>
        <w:ind w:firstLine="480"/>
        <w:rPr>
          <w:rFonts w:ascii="Times New Roman" w:hAnsi="Times New Roman" w:eastAsia="宋体"/>
          <w:sz w:val="24"/>
          <w:szCs w:val="28"/>
        </w:rPr>
      </w:pPr>
      <w:r>
        <w:rPr>
          <w:rFonts w:hint="eastAsia" w:ascii="Times New Roman" w:hAnsi="Times New Roman" w:eastAsia="宋体"/>
          <w:color w:val="C00000"/>
          <w:sz w:val="24"/>
          <w:szCs w:val="28"/>
          <w:u w:val="wave"/>
          <w:lang w:val="en-US" w:eastAsia="zh-CN"/>
        </w:rPr>
        <w:t>示例：</w:t>
      </w:r>
      <w:r>
        <w:rPr>
          <w:rFonts w:hint="eastAsia" w:ascii="Times New Roman" w:hAnsi="Times New Roman" w:eastAsia="宋体"/>
          <w:color w:val="C00000"/>
          <w:sz w:val="24"/>
          <w:szCs w:val="28"/>
          <w:u w:val="wave"/>
        </w:rPr>
        <w:t>经复核，计算过程</w:t>
      </w:r>
      <w:r>
        <w:rPr>
          <w:rFonts w:hint="eastAsia" w:ascii="Times New Roman" w:hAnsi="Times New Roman" w:eastAsia="宋体"/>
          <w:color w:val="C00000"/>
          <w:sz w:val="24"/>
          <w:szCs w:val="28"/>
          <w:u w:val="wave"/>
          <w:lang w:val="en-US" w:eastAsia="zh-CN"/>
        </w:rPr>
        <w:t>合规</w:t>
      </w:r>
      <w:r>
        <w:rPr>
          <w:rFonts w:hint="eastAsia" w:ascii="Times New Roman" w:hAnsi="Times New Roman" w:eastAsia="宋体"/>
          <w:color w:val="C00000"/>
          <w:sz w:val="24"/>
          <w:szCs w:val="28"/>
          <w:u w:val="wave"/>
        </w:rPr>
        <w:t>，</w:t>
      </w:r>
      <w:r>
        <w:rPr>
          <w:rFonts w:hint="eastAsia" w:ascii="Times New Roman" w:hAnsi="Times New Roman" w:eastAsia="宋体"/>
          <w:color w:val="C00000"/>
          <w:sz w:val="24"/>
          <w:szCs w:val="28"/>
          <w:u w:val="wave"/>
          <w:lang w:val="en-US" w:eastAsia="zh-CN"/>
        </w:rPr>
        <w:t>计算依据</w:t>
      </w:r>
      <w:r>
        <w:rPr>
          <w:rFonts w:hint="eastAsia" w:ascii="Times New Roman" w:hAnsi="Times New Roman" w:eastAsia="宋体"/>
          <w:color w:val="C00000"/>
          <w:sz w:val="24"/>
          <w:szCs w:val="28"/>
          <w:u w:val="wave"/>
        </w:rPr>
        <w:t>可靠（基于勘察报告及</w:t>
      </w:r>
      <w:r>
        <w:rPr>
          <w:rFonts w:hint="eastAsia" w:ascii="Times New Roman" w:hAnsi="Times New Roman" w:eastAsia="宋体"/>
          <w:color w:val="C00000"/>
          <w:sz w:val="24"/>
          <w:szCs w:val="28"/>
          <w:u w:val="wave"/>
          <w:lang w:val="en-US" w:eastAsia="zh-CN"/>
        </w:rPr>
        <w:t>设计</w:t>
      </w:r>
      <w:r>
        <w:rPr>
          <w:rFonts w:hint="eastAsia" w:ascii="Times New Roman" w:hAnsi="Times New Roman" w:eastAsia="宋体"/>
          <w:color w:val="C00000"/>
          <w:sz w:val="24"/>
          <w:szCs w:val="28"/>
          <w:u w:val="wave"/>
        </w:rPr>
        <w:t>图纸），计算方法正确。</w:t>
      </w:r>
      <w:r>
        <w:rPr>
          <w:rFonts w:hint="eastAsia" w:ascii="Times New Roman" w:hAnsi="Times New Roman" w:eastAsia="宋体"/>
          <w:color w:val="C00000"/>
          <w:sz w:val="24"/>
          <w:szCs w:val="28"/>
          <w:u w:val="wave"/>
          <w:lang w:val="en-US" w:eastAsia="zh-CN"/>
        </w:rPr>
        <w:t>项目土方自平衡率计算无误，成果可作为项目土方处置依据</w:t>
      </w:r>
      <w:r>
        <w:rPr>
          <w:rFonts w:hint="eastAsia" w:ascii="Times New Roman" w:hAnsi="Times New Roman" w:eastAsia="宋体"/>
          <w:color w:val="C00000"/>
          <w:sz w:val="24"/>
          <w:szCs w:val="28"/>
          <w:u w:val="wave"/>
        </w:rPr>
        <w:t>。</w:t>
      </w:r>
    </w:p>
    <w:p>
      <w:pPr>
        <w:pStyle w:val="18"/>
        <w:spacing w:line="360" w:lineRule="auto"/>
        <w:ind w:left="0" w:leftChars="0" w:firstLine="0" w:firstLineChars="0"/>
        <w:outlineLvl w:val="1"/>
        <w:rPr>
          <w:rFonts w:hint="default" w:ascii="Times New Roman" w:hAnsi="Times New Roman" w:eastAsia="宋体"/>
          <w:b/>
          <w:bCs/>
          <w:color w:val="auto"/>
          <w:sz w:val="24"/>
          <w:szCs w:val="28"/>
          <w:lang w:val="en-US" w:eastAsia="zh-CN"/>
        </w:rPr>
      </w:pPr>
      <w:bookmarkStart w:id="5" w:name="_Toc32"/>
      <w:r>
        <w:rPr>
          <w:rFonts w:hint="eastAsia" w:ascii="Times New Roman" w:hAnsi="Times New Roman" w:eastAsia="宋体"/>
          <w:b/>
          <w:bCs/>
          <w:color w:val="auto"/>
          <w:sz w:val="24"/>
          <w:szCs w:val="28"/>
          <w:lang w:val="en-US" w:eastAsia="zh-CN"/>
        </w:rPr>
        <w:t>6.4场内</w:t>
      </w:r>
      <w:r>
        <w:rPr>
          <w:rFonts w:hint="eastAsia" w:ascii="Times New Roman" w:hAnsi="Times New Roman" w:eastAsia="宋体"/>
          <w:b/>
          <w:bCs/>
          <w:color w:val="auto"/>
          <w:sz w:val="24"/>
          <w:szCs w:val="28"/>
        </w:rPr>
        <w:t>资源化利用合理性</w:t>
      </w:r>
      <w:bookmarkEnd w:id="5"/>
      <w:r>
        <w:rPr>
          <w:rFonts w:hint="eastAsia" w:ascii="Times New Roman" w:hAnsi="Times New Roman" w:eastAsia="宋体"/>
          <w:b/>
          <w:bCs/>
          <w:color w:val="auto"/>
          <w:sz w:val="24"/>
          <w:szCs w:val="28"/>
          <w:lang w:val="en-US" w:eastAsia="zh-CN"/>
        </w:rPr>
        <w:t>评价</w:t>
      </w:r>
    </w:p>
    <w:p>
      <w:pPr>
        <w:pStyle w:val="18"/>
        <w:spacing w:line="360" w:lineRule="auto"/>
        <w:ind w:firstLine="480"/>
        <w:rPr>
          <w:rFonts w:hint="eastAsia" w:ascii="Times New Roman" w:hAnsi="Times New Roman" w:eastAsia="宋体"/>
          <w:color w:val="C00000"/>
          <w:sz w:val="24"/>
          <w:szCs w:val="28"/>
          <w:u w:val="wave"/>
          <w:lang w:eastAsia="zh-CN"/>
        </w:rPr>
      </w:pPr>
      <w:r>
        <w:rPr>
          <w:rFonts w:hint="eastAsia" w:ascii="Times New Roman" w:hAnsi="Times New Roman" w:eastAsia="宋体"/>
          <w:color w:val="C00000"/>
          <w:sz w:val="24"/>
          <w:szCs w:val="28"/>
          <w:u w:val="wave"/>
          <w:lang w:val="en-US" w:eastAsia="zh-CN"/>
        </w:rPr>
        <w:t>示例：</w:t>
      </w:r>
      <w:r>
        <w:rPr>
          <w:rFonts w:hint="eastAsia" w:ascii="Times New Roman" w:hAnsi="Times New Roman" w:eastAsia="宋体"/>
          <w:color w:val="C00000"/>
          <w:sz w:val="24"/>
          <w:szCs w:val="28"/>
          <w:u w:val="wave"/>
        </w:rPr>
        <w:t>本项目积极响应国家及</w:t>
      </w:r>
      <w:r>
        <w:rPr>
          <w:rFonts w:hint="eastAsia" w:ascii="Times New Roman" w:hAnsi="Times New Roman" w:eastAsia="宋体"/>
          <w:color w:val="C00000"/>
          <w:sz w:val="24"/>
          <w:szCs w:val="28"/>
          <w:u w:val="wave"/>
          <w:lang w:val="en-US" w:eastAsia="zh-CN"/>
        </w:rPr>
        <w:t>省市</w:t>
      </w:r>
      <w:r>
        <w:rPr>
          <w:rFonts w:hint="eastAsia" w:ascii="Times New Roman" w:hAnsi="Times New Roman" w:eastAsia="宋体"/>
          <w:color w:val="C00000"/>
          <w:sz w:val="24"/>
          <w:szCs w:val="28"/>
          <w:u w:val="wave"/>
        </w:rPr>
        <w:t>建筑垃圾减量化政策要求，</w:t>
      </w:r>
      <w:r>
        <w:rPr>
          <w:rFonts w:hint="eastAsia" w:ascii="Times New Roman" w:hAnsi="Times New Roman" w:eastAsia="宋体"/>
          <w:color w:val="C00000"/>
          <w:sz w:val="24"/>
          <w:szCs w:val="28"/>
          <w:u w:val="wave"/>
          <w:lang w:val="en-US" w:eastAsia="zh-CN"/>
        </w:rPr>
        <w:t>落实土方综合利用措施如下</w:t>
      </w:r>
      <w:r>
        <w:rPr>
          <w:rFonts w:hint="eastAsia" w:ascii="Times New Roman" w:hAnsi="Times New Roman" w:eastAsia="宋体"/>
          <w:color w:val="C00000"/>
          <w:sz w:val="24"/>
          <w:szCs w:val="28"/>
          <w:u w:val="wave"/>
        </w:rPr>
        <w:t>：XXX</w:t>
      </w:r>
      <w:r>
        <w:rPr>
          <w:rFonts w:hint="eastAsia" w:ascii="Times New Roman" w:hAnsi="Times New Roman" w:eastAsia="宋体"/>
          <w:color w:val="C00000"/>
          <w:sz w:val="24"/>
          <w:szCs w:val="28"/>
          <w:u w:val="wave"/>
          <w:lang w:eastAsia="zh-CN"/>
        </w:rPr>
        <w:t>；</w:t>
      </w:r>
    </w:p>
    <w:p>
      <w:pPr>
        <w:pStyle w:val="18"/>
        <w:spacing w:line="360" w:lineRule="auto"/>
        <w:ind w:left="0" w:leftChars="0" w:firstLine="480" w:firstLineChars="200"/>
        <w:rPr>
          <w:rFonts w:hint="eastAsia" w:ascii="Times New Roman" w:hAnsi="Times New Roman" w:eastAsia="宋体"/>
          <w:color w:val="C00000"/>
          <w:sz w:val="24"/>
          <w:szCs w:val="28"/>
          <w:u w:val="wave"/>
          <w:lang w:val="en-US" w:eastAsia="zh-CN"/>
        </w:rPr>
      </w:pPr>
      <w:r>
        <w:rPr>
          <w:rFonts w:hint="eastAsia" w:ascii="Times New Roman" w:hAnsi="Times New Roman" w:eastAsia="宋体"/>
          <w:color w:val="C00000"/>
          <w:sz w:val="24"/>
          <w:szCs w:val="28"/>
          <w:u w:val="wave"/>
        </w:rPr>
        <w:t>本项目积极响应建筑垃圾资源化政策，在建设过程中使用由工程渣土、废弃混凝土等固废制成的再生建材产品情况如下：XXX。</w:t>
      </w:r>
    </w:p>
    <w:p>
      <w:pPr>
        <w:pStyle w:val="18"/>
        <w:numPr>
          <w:ilvl w:val="0"/>
          <w:numId w:val="0"/>
        </w:numPr>
        <w:spacing w:line="360" w:lineRule="auto"/>
        <w:ind w:leftChars="0"/>
        <w:outlineLvl w:val="1"/>
        <w:rPr>
          <w:rFonts w:hint="default" w:ascii="Times New Roman" w:hAnsi="Times New Roman" w:eastAsia="宋体"/>
          <w:b/>
          <w:bCs/>
          <w:color w:val="auto"/>
          <w:sz w:val="24"/>
          <w:szCs w:val="28"/>
          <w:lang w:val="en-US" w:eastAsia="zh-CN"/>
        </w:rPr>
      </w:pPr>
      <w:bookmarkStart w:id="6" w:name="_Toc1975"/>
      <w:r>
        <w:rPr>
          <w:rFonts w:hint="eastAsia" w:ascii="Times New Roman" w:hAnsi="Times New Roman" w:eastAsia="宋体"/>
          <w:b/>
          <w:bCs/>
          <w:color w:val="auto"/>
          <w:sz w:val="24"/>
          <w:szCs w:val="28"/>
          <w:lang w:val="en-US" w:eastAsia="zh-CN"/>
        </w:rPr>
        <w:t>6.5</w:t>
      </w:r>
      <w:r>
        <w:rPr>
          <w:rFonts w:hint="eastAsia" w:ascii="Times New Roman" w:hAnsi="Times New Roman" w:eastAsia="宋体"/>
          <w:b/>
          <w:bCs/>
          <w:color w:val="auto"/>
          <w:sz w:val="24"/>
          <w:szCs w:val="28"/>
        </w:rPr>
        <w:t>外运土方</w:t>
      </w:r>
      <w:r>
        <w:rPr>
          <w:rFonts w:hint="eastAsia" w:ascii="Times New Roman" w:hAnsi="Times New Roman" w:eastAsia="宋体"/>
          <w:b/>
          <w:bCs/>
          <w:color w:val="auto"/>
          <w:sz w:val="24"/>
          <w:szCs w:val="28"/>
          <w:lang w:val="en-US" w:eastAsia="zh-CN"/>
        </w:rPr>
        <w:t>处置</w:t>
      </w:r>
      <w:bookmarkEnd w:id="6"/>
      <w:r>
        <w:rPr>
          <w:rFonts w:hint="eastAsia" w:ascii="Times New Roman" w:hAnsi="Times New Roman" w:eastAsia="宋体"/>
          <w:b/>
          <w:bCs/>
          <w:color w:val="auto"/>
          <w:sz w:val="24"/>
          <w:szCs w:val="28"/>
          <w:lang w:val="en-US" w:eastAsia="zh-CN"/>
        </w:rPr>
        <w:t>方案合理性评价</w:t>
      </w:r>
    </w:p>
    <w:p>
      <w:pPr>
        <w:pStyle w:val="18"/>
        <w:numPr>
          <w:ilvl w:val="0"/>
          <w:numId w:val="0"/>
        </w:numPr>
        <w:spacing w:line="360" w:lineRule="auto"/>
        <w:ind w:leftChars="0" w:firstLine="480" w:firstLineChars="200"/>
        <w:rPr>
          <w:rFonts w:ascii="Times New Roman" w:hAnsi="Times New Roman" w:eastAsia="宋体"/>
          <w:color w:val="C00000"/>
          <w:sz w:val="24"/>
          <w:szCs w:val="28"/>
          <w:u w:val="wave"/>
        </w:rPr>
      </w:pPr>
      <w:r>
        <w:rPr>
          <w:rFonts w:hint="eastAsia" w:ascii="Times New Roman" w:hAnsi="Times New Roman" w:eastAsia="宋体"/>
          <w:color w:val="C00000"/>
          <w:sz w:val="24"/>
          <w:szCs w:val="28"/>
          <w:u w:val="wave"/>
          <w:lang w:val="en-US" w:eastAsia="zh-CN"/>
        </w:rPr>
        <w:t>示例：项目外运土方、外购土方的处置方案清晰，处置去向已落实（或有明确意向）。土方处置全流程可满足《</w:t>
      </w:r>
      <w:r>
        <w:rPr>
          <w:rFonts w:hint="eastAsia" w:ascii="宋体" w:hAnsi="宋体" w:eastAsia="宋体" w:cs="Times New Roman"/>
          <w:color w:val="C00000"/>
          <w:kern w:val="0"/>
          <w:sz w:val="24"/>
          <w:szCs w:val="24"/>
          <w:highlight w:val="none"/>
          <w:u w:val="wave"/>
          <w:lang w:val="en-US" w:eastAsia="zh-CN" w:bidi="ar-SA"/>
          <w14:ligatures w14:val="standardContextual"/>
        </w:rPr>
        <w:t>浙江省建筑垃圾减量化专项设计指南（试行）</w:t>
      </w:r>
      <w:r>
        <w:rPr>
          <w:rFonts w:hint="eastAsia" w:ascii="Times New Roman" w:hAnsi="Times New Roman" w:eastAsia="宋体"/>
          <w:color w:val="C00000"/>
          <w:sz w:val="24"/>
          <w:szCs w:val="28"/>
          <w:u w:val="wave"/>
          <w:lang w:val="en-US" w:eastAsia="zh-CN"/>
        </w:rPr>
        <w:t>》及地方建筑垃圾处置相关管理要求。</w:t>
      </w:r>
    </w:p>
    <w:p>
      <w:pPr>
        <w:pStyle w:val="18"/>
        <w:spacing w:line="360" w:lineRule="auto"/>
        <w:ind w:firstLine="480"/>
        <w:rPr>
          <w:rFonts w:hint="eastAsia" w:ascii="Times New Roman" w:hAnsi="Times New Roman" w:eastAsia="宋体"/>
          <w:sz w:val="24"/>
          <w:szCs w:val="28"/>
          <w:lang w:val="en-US" w:eastAsia="zh-CN"/>
        </w:rPr>
      </w:pPr>
      <w:r>
        <w:rPr>
          <w:rFonts w:hint="eastAsia" w:ascii="Times New Roman" w:hAnsi="Times New Roman" w:eastAsia="宋体"/>
          <w:sz w:val="24"/>
          <w:szCs w:val="28"/>
        </w:rPr>
        <w:t>综上所述，本项目土方平衡各评价项目</w:t>
      </w:r>
      <w:bookmarkStart w:id="7" w:name="_GoBack"/>
      <w:bookmarkEnd w:id="7"/>
      <w:r>
        <w:rPr>
          <w:rFonts w:hint="eastAsia" w:ascii="Times New Roman" w:hAnsi="Times New Roman" w:eastAsia="宋体"/>
          <w:sz w:val="24"/>
          <w:szCs w:val="28"/>
        </w:rPr>
        <w:t>均满足</w:t>
      </w:r>
      <w:r>
        <w:rPr>
          <w:rFonts w:hint="eastAsia" w:ascii="Times New Roman" w:hAnsi="Times New Roman" w:eastAsia="宋体"/>
          <w:sz w:val="24"/>
          <w:szCs w:val="28"/>
          <w:lang w:val="en-US" w:eastAsia="zh-CN"/>
        </w:rPr>
        <w:t>相关规范及政策要求，</w:t>
      </w:r>
      <w:r>
        <w:rPr>
          <w:rFonts w:hint="eastAsia" w:ascii="Times New Roman" w:hAnsi="Times New Roman" w:eastAsia="宋体"/>
          <w:sz w:val="24"/>
          <w:szCs w:val="28"/>
        </w:rPr>
        <w:t>土方平衡评价表如下。</w:t>
      </w:r>
    </w:p>
    <w:p>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pPr>
        <w:keepNext w:val="0"/>
        <w:keepLines w:val="0"/>
        <w:pageBreakBefore w:val="0"/>
        <w:kinsoku/>
        <w:wordWrap/>
        <w:overflowPunct/>
        <w:topLinePunct w:val="0"/>
        <w:autoSpaceDE/>
        <w:autoSpaceDN/>
        <w:bidi w:val="0"/>
        <w:adjustRightInd/>
        <w:snapToGrid/>
        <w:spacing w:line="360" w:lineRule="auto"/>
        <w:jc w:val="center"/>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表10</w:t>
      </w:r>
      <w:r>
        <w:rPr>
          <w:rFonts w:hint="eastAsia" w:ascii="宋体" w:hAnsi="宋体" w:eastAsia="宋体" w:cs="宋体"/>
          <w:b/>
          <w:bCs/>
          <w:color w:val="auto"/>
          <w:sz w:val="24"/>
          <w:szCs w:val="24"/>
        </w:rPr>
        <w:t xml:space="preserve"> 土方平衡评价表</w:t>
      </w:r>
    </w:p>
    <w:tbl>
      <w:tblPr>
        <w:tblStyle w:val="11"/>
        <w:tblW w:w="48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3446"/>
        <w:gridCol w:w="2323"/>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4" w:type="pct"/>
            <w:noWrap w:val="0"/>
            <w:vAlign w:val="center"/>
          </w:tcPr>
          <w:p>
            <w:pPr>
              <w:pStyle w:val="18"/>
              <w:spacing w:line="360" w:lineRule="auto"/>
              <w:ind w:firstLine="0" w:firstLineChars="0"/>
              <w:jc w:val="center"/>
              <w:rPr>
                <w:rFonts w:ascii="Times New Roman" w:hAnsi="Times New Roman" w:eastAsia="宋体"/>
              </w:rPr>
            </w:pPr>
            <w:r>
              <w:rPr>
                <w:rFonts w:hint="eastAsia" w:ascii="Times New Roman" w:hAnsi="Times New Roman" w:eastAsia="宋体"/>
              </w:rPr>
              <w:t>序号</w:t>
            </w:r>
          </w:p>
        </w:tc>
        <w:tc>
          <w:tcPr>
            <w:tcW w:w="2065" w:type="pct"/>
            <w:noWrap w:val="0"/>
            <w:vAlign w:val="center"/>
          </w:tcPr>
          <w:p>
            <w:pPr>
              <w:pStyle w:val="18"/>
              <w:spacing w:line="360" w:lineRule="auto"/>
              <w:ind w:firstLine="0" w:firstLineChars="0"/>
              <w:jc w:val="center"/>
              <w:rPr>
                <w:rFonts w:ascii="Times New Roman" w:hAnsi="Times New Roman" w:eastAsia="宋体"/>
              </w:rPr>
            </w:pPr>
            <w:r>
              <w:rPr>
                <w:rFonts w:hint="eastAsia" w:ascii="Times New Roman" w:hAnsi="Times New Roman" w:eastAsia="宋体"/>
              </w:rPr>
              <w:t>评价项目</w:t>
            </w:r>
          </w:p>
        </w:tc>
        <w:tc>
          <w:tcPr>
            <w:tcW w:w="1392" w:type="pct"/>
            <w:noWrap w:val="0"/>
            <w:vAlign w:val="center"/>
          </w:tcPr>
          <w:p>
            <w:pPr>
              <w:pStyle w:val="18"/>
              <w:spacing w:line="360" w:lineRule="auto"/>
              <w:ind w:firstLine="0" w:firstLineChars="0"/>
              <w:jc w:val="center"/>
              <w:rPr>
                <w:rFonts w:hint="eastAsia" w:ascii="Times New Roman" w:hAnsi="Times New Roman" w:eastAsia="宋体"/>
              </w:rPr>
            </w:pPr>
            <w:r>
              <w:rPr>
                <w:rFonts w:hint="eastAsia" w:ascii="Times New Roman" w:hAnsi="Times New Roman" w:eastAsia="宋体"/>
              </w:rPr>
              <w:t>响应措施</w:t>
            </w:r>
          </w:p>
          <w:p>
            <w:pPr>
              <w:pStyle w:val="18"/>
              <w:spacing w:line="360" w:lineRule="auto"/>
              <w:ind w:firstLine="0" w:firstLineChars="0"/>
              <w:jc w:val="center"/>
              <w:rPr>
                <w:rFonts w:hint="eastAsia" w:ascii="Times New Roman" w:hAnsi="Times New Roman" w:eastAsia="宋体"/>
                <w:lang w:eastAsia="zh-CN"/>
              </w:rPr>
            </w:pPr>
            <w:r>
              <w:rPr>
                <w:rFonts w:hint="eastAsia" w:ascii="Times New Roman" w:hAnsi="Times New Roman" w:eastAsia="宋体"/>
                <w:lang w:eastAsia="zh-CN"/>
              </w:rPr>
              <w:t>（</w:t>
            </w:r>
            <w:r>
              <w:rPr>
                <w:rFonts w:hint="eastAsia" w:ascii="Times New Roman" w:hAnsi="Times New Roman" w:eastAsia="宋体"/>
                <w:lang w:val="en-US" w:eastAsia="zh-CN"/>
              </w:rPr>
              <w:t>规范符合性</w:t>
            </w:r>
            <w:r>
              <w:rPr>
                <w:rFonts w:hint="eastAsia" w:ascii="Times New Roman" w:hAnsi="Times New Roman" w:eastAsia="宋体"/>
                <w:lang w:eastAsia="zh-CN"/>
              </w:rPr>
              <w:t>）</w:t>
            </w:r>
          </w:p>
        </w:tc>
        <w:tc>
          <w:tcPr>
            <w:tcW w:w="1097" w:type="pct"/>
            <w:noWrap w:val="0"/>
            <w:vAlign w:val="center"/>
          </w:tcPr>
          <w:p>
            <w:pPr>
              <w:pStyle w:val="18"/>
              <w:spacing w:line="360" w:lineRule="auto"/>
              <w:ind w:firstLine="0" w:firstLineChars="0"/>
              <w:jc w:val="center"/>
              <w:rPr>
                <w:rFonts w:hint="eastAsia" w:ascii="Times New Roman" w:hAnsi="Times New Roman" w:eastAsia="宋体"/>
              </w:rPr>
            </w:pPr>
            <w:r>
              <w:rPr>
                <w:rFonts w:hint="eastAsia" w:ascii="Times New Roman" w:hAnsi="Times New Roman" w:eastAsia="宋体"/>
              </w:rPr>
              <w:t>评价结果</w:t>
            </w:r>
          </w:p>
          <w:p>
            <w:pPr>
              <w:pStyle w:val="18"/>
              <w:spacing w:line="360" w:lineRule="auto"/>
              <w:ind w:firstLine="0" w:firstLineChars="0"/>
              <w:jc w:val="center"/>
              <w:rPr>
                <w:rFonts w:hint="eastAsia" w:ascii="Times New Roman" w:hAnsi="Times New Roman" w:eastAsia="宋体"/>
                <w:lang w:eastAsia="zh-CN"/>
              </w:rPr>
            </w:pPr>
            <w:r>
              <w:rPr>
                <w:rFonts w:hint="eastAsia" w:ascii="Times New Roman" w:hAnsi="Times New Roman" w:eastAsia="宋体"/>
                <w:lang w:eastAsia="zh-CN"/>
              </w:rPr>
              <w:t>（</w:t>
            </w:r>
            <w:r>
              <w:rPr>
                <w:rFonts w:hint="eastAsia" w:ascii="Times New Roman" w:hAnsi="Times New Roman" w:eastAsia="宋体"/>
                <w:lang w:val="en-US" w:eastAsia="zh-CN"/>
              </w:rPr>
              <w:t>合格/不合格</w:t>
            </w:r>
            <w:r>
              <w:rPr>
                <w:rFonts w:hint="eastAsia" w:ascii="Times New Roman" w:hAnsi="Times New Roman"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4" w:type="pct"/>
            <w:noWrap w:val="0"/>
            <w:vAlign w:val="center"/>
          </w:tcPr>
          <w:p>
            <w:pPr>
              <w:pStyle w:val="18"/>
              <w:spacing w:line="240" w:lineRule="auto"/>
              <w:ind w:firstLine="0" w:firstLineChars="0"/>
              <w:jc w:val="center"/>
              <w:rPr>
                <w:rFonts w:ascii="Times New Roman" w:hAnsi="Times New Roman" w:eastAsia="宋体"/>
              </w:rPr>
            </w:pPr>
            <w:r>
              <w:rPr>
                <w:rFonts w:hint="eastAsia" w:ascii="Times New Roman" w:hAnsi="Times New Roman" w:eastAsia="宋体"/>
              </w:rPr>
              <w:t>1</w:t>
            </w:r>
          </w:p>
        </w:tc>
        <w:tc>
          <w:tcPr>
            <w:tcW w:w="2065" w:type="pct"/>
            <w:noWrap w:val="0"/>
            <w:vAlign w:val="center"/>
          </w:tcPr>
          <w:p>
            <w:pPr>
              <w:pStyle w:val="18"/>
              <w:spacing w:line="240" w:lineRule="auto"/>
              <w:ind w:firstLine="0" w:firstLineChars="0"/>
              <w:jc w:val="center"/>
              <w:rPr>
                <w:rFonts w:ascii="Times New Roman" w:hAnsi="Times New Roman" w:eastAsia="宋体"/>
              </w:rPr>
            </w:pPr>
            <w:r>
              <w:rPr>
                <w:rFonts w:hint="eastAsia" w:ascii="Times New Roman" w:hAnsi="Times New Roman" w:eastAsia="宋体"/>
              </w:rPr>
              <w:t>总平面设计、建筑单体布局及场地内部道路规划合理性</w:t>
            </w:r>
          </w:p>
        </w:tc>
        <w:tc>
          <w:tcPr>
            <w:tcW w:w="1392" w:type="pct"/>
            <w:noWrap w:val="0"/>
            <w:vAlign w:val="center"/>
          </w:tcPr>
          <w:p>
            <w:pPr>
              <w:pStyle w:val="18"/>
              <w:spacing w:line="240" w:lineRule="auto"/>
              <w:ind w:firstLine="0" w:firstLineChars="0"/>
              <w:jc w:val="center"/>
              <w:rPr>
                <w:rFonts w:ascii="Times New Roman" w:hAnsi="Times New Roman" w:eastAsia="宋体"/>
              </w:rPr>
            </w:pPr>
          </w:p>
        </w:tc>
        <w:tc>
          <w:tcPr>
            <w:tcW w:w="1097" w:type="pct"/>
            <w:noWrap w:val="0"/>
            <w:vAlign w:val="center"/>
          </w:tcPr>
          <w:p>
            <w:pPr>
              <w:pStyle w:val="18"/>
              <w:spacing w:line="240" w:lineRule="auto"/>
              <w:ind w:firstLine="0" w:firstLineChars="0"/>
              <w:jc w:val="center"/>
              <w:rPr>
                <w:rFonts w:ascii="Times New Roman" w:hAnsi="Times New Roman"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4" w:type="pct"/>
            <w:noWrap w:val="0"/>
            <w:vAlign w:val="center"/>
          </w:tcPr>
          <w:p>
            <w:pPr>
              <w:pStyle w:val="18"/>
              <w:spacing w:line="240" w:lineRule="auto"/>
              <w:ind w:firstLine="0" w:firstLineChars="0"/>
              <w:jc w:val="center"/>
              <w:rPr>
                <w:rFonts w:ascii="Times New Roman" w:hAnsi="Times New Roman" w:eastAsia="宋体"/>
              </w:rPr>
            </w:pPr>
            <w:r>
              <w:rPr>
                <w:rFonts w:hint="eastAsia" w:ascii="Times New Roman" w:hAnsi="Times New Roman" w:eastAsia="宋体"/>
              </w:rPr>
              <w:t>2</w:t>
            </w:r>
          </w:p>
        </w:tc>
        <w:tc>
          <w:tcPr>
            <w:tcW w:w="2065" w:type="pct"/>
            <w:noWrap w:val="0"/>
            <w:vAlign w:val="center"/>
          </w:tcPr>
          <w:p>
            <w:pPr>
              <w:pStyle w:val="18"/>
              <w:spacing w:line="240" w:lineRule="auto"/>
              <w:ind w:firstLine="0" w:firstLineChars="0"/>
              <w:jc w:val="center"/>
              <w:rPr>
                <w:rFonts w:ascii="Times New Roman" w:hAnsi="Times New Roman" w:eastAsia="宋体"/>
              </w:rPr>
            </w:pPr>
            <w:r>
              <w:rPr>
                <w:rFonts w:hint="eastAsia" w:ascii="Times New Roman" w:hAnsi="Times New Roman" w:eastAsia="宋体"/>
              </w:rPr>
              <w:t>场地竖向设计合理性</w:t>
            </w:r>
          </w:p>
        </w:tc>
        <w:tc>
          <w:tcPr>
            <w:tcW w:w="1392" w:type="pct"/>
            <w:noWrap w:val="0"/>
            <w:vAlign w:val="center"/>
          </w:tcPr>
          <w:p>
            <w:pPr>
              <w:pStyle w:val="18"/>
              <w:spacing w:line="240" w:lineRule="auto"/>
              <w:ind w:firstLine="0" w:firstLineChars="0"/>
              <w:jc w:val="center"/>
              <w:rPr>
                <w:rFonts w:ascii="Times New Roman" w:hAnsi="Times New Roman" w:eastAsia="宋体"/>
              </w:rPr>
            </w:pPr>
          </w:p>
        </w:tc>
        <w:tc>
          <w:tcPr>
            <w:tcW w:w="1097" w:type="pct"/>
            <w:noWrap w:val="0"/>
            <w:vAlign w:val="center"/>
          </w:tcPr>
          <w:p>
            <w:pPr>
              <w:pStyle w:val="18"/>
              <w:spacing w:line="240" w:lineRule="auto"/>
              <w:ind w:firstLine="0" w:firstLineChars="0"/>
              <w:jc w:val="center"/>
              <w:rPr>
                <w:rFonts w:ascii="Times New Roman" w:hAnsi="Times New Roman"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4" w:type="pct"/>
            <w:noWrap w:val="0"/>
            <w:vAlign w:val="center"/>
          </w:tcPr>
          <w:p>
            <w:pPr>
              <w:pStyle w:val="18"/>
              <w:spacing w:line="24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rPr>
              <w:t>3</w:t>
            </w:r>
          </w:p>
        </w:tc>
        <w:tc>
          <w:tcPr>
            <w:tcW w:w="2065" w:type="pct"/>
            <w:noWrap w:val="0"/>
            <w:vAlign w:val="center"/>
          </w:tcPr>
          <w:p>
            <w:pPr>
              <w:pStyle w:val="18"/>
              <w:spacing w:line="240" w:lineRule="auto"/>
              <w:ind w:firstLine="0" w:firstLineChars="0"/>
              <w:jc w:val="center"/>
              <w:rPr>
                <w:rFonts w:hint="default" w:ascii="Times New Roman" w:hAnsi="Times New Roman" w:eastAsia="宋体"/>
                <w:color w:val="000000" w:themeColor="text1"/>
                <w:lang w:val="en-US"/>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基础与基坑工程设计合理性</w:t>
            </w:r>
          </w:p>
        </w:tc>
        <w:tc>
          <w:tcPr>
            <w:tcW w:w="1392" w:type="pct"/>
            <w:noWrap w:val="0"/>
            <w:vAlign w:val="center"/>
          </w:tcPr>
          <w:p>
            <w:pPr>
              <w:pStyle w:val="18"/>
              <w:spacing w:line="240" w:lineRule="auto"/>
              <w:ind w:firstLine="0" w:firstLineChars="0"/>
              <w:jc w:val="center"/>
              <w:rPr>
                <w:rFonts w:ascii="Times New Roman" w:hAnsi="Times New Roman" w:eastAsia="宋体"/>
                <w:color w:val="C00000"/>
              </w:rPr>
            </w:pPr>
          </w:p>
        </w:tc>
        <w:tc>
          <w:tcPr>
            <w:tcW w:w="1097" w:type="pct"/>
            <w:noWrap w:val="0"/>
            <w:vAlign w:val="center"/>
          </w:tcPr>
          <w:p>
            <w:pPr>
              <w:pStyle w:val="18"/>
              <w:spacing w:line="240" w:lineRule="auto"/>
              <w:ind w:firstLine="0" w:firstLineChars="0"/>
              <w:jc w:val="center"/>
              <w:rPr>
                <w:rFonts w:ascii="Times New Roman" w:hAnsi="Times New Roman"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4" w:type="pct"/>
            <w:noWrap w:val="0"/>
            <w:vAlign w:val="center"/>
          </w:tcPr>
          <w:p>
            <w:pPr>
              <w:pStyle w:val="18"/>
              <w:spacing w:line="24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lang w:val="en-US" w:eastAsia="zh-CN"/>
              </w:rPr>
              <w:t>4</w:t>
            </w:r>
          </w:p>
        </w:tc>
        <w:tc>
          <w:tcPr>
            <w:tcW w:w="2065" w:type="pct"/>
            <w:noWrap w:val="0"/>
            <w:vAlign w:val="center"/>
          </w:tcPr>
          <w:p>
            <w:pPr>
              <w:pStyle w:val="18"/>
              <w:spacing w:line="240" w:lineRule="auto"/>
              <w:ind w:firstLine="0" w:firstLineChars="0"/>
              <w:jc w:val="center"/>
              <w:rPr>
                <w:rFonts w:ascii="Times New Roman" w:hAnsi="Times New Roman" w:eastAsia="宋体"/>
              </w:rPr>
            </w:pPr>
            <w:r>
              <w:rPr>
                <w:rFonts w:hint="eastAsia" w:ascii="Times New Roman" w:hAnsi="Times New Roman" w:eastAsia="宋体"/>
              </w:rPr>
              <w:t>土方</w:t>
            </w:r>
            <w:r>
              <w:rPr>
                <w:rFonts w:hint="eastAsia" w:ascii="Times New Roman" w:hAnsi="Times New Roman" w:eastAsia="宋体"/>
                <w:lang w:val="en-US" w:eastAsia="zh-CN"/>
              </w:rPr>
              <w:t>与建筑垃圾</w:t>
            </w:r>
            <w:r>
              <w:rPr>
                <w:rFonts w:hint="eastAsia" w:ascii="Times New Roman" w:hAnsi="Times New Roman" w:eastAsia="宋体"/>
              </w:rPr>
              <w:t>资源化利用合理性</w:t>
            </w:r>
          </w:p>
        </w:tc>
        <w:tc>
          <w:tcPr>
            <w:tcW w:w="1392" w:type="pct"/>
            <w:noWrap w:val="0"/>
            <w:vAlign w:val="center"/>
          </w:tcPr>
          <w:p>
            <w:pPr>
              <w:pStyle w:val="18"/>
              <w:spacing w:line="240" w:lineRule="auto"/>
              <w:ind w:firstLine="0" w:firstLineChars="0"/>
              <w:jc w:val="center"/>
              <w:rPr>
                <w:rFonts w:ascii="Times New Roman" w:hAnsi="Times New Roman" w:eastAsia="宋体"/>
              </w:rPr>
            </w:pPr>
          </w:p>
        </w:tc>
        <w:tc>
          <w:tcPr>
            <w:tcW w:w="1097" w:type="pct"/>
            <w:noWrap w:val="0"/>
            <w:vAlign w:val="center"/>
          </w:tcPr>
          <w:p>
            <w:pPr>
              <w:pStyle w:val="18"/>
              <w:spacing w:line="240" w:lineRule="auto"/>
              <w:ind w:firstLine="0" w:firstLineChars="0"/>
              <w:jc w:val="center"/>
              <w:rPr>
                <w:rFonts w:ascii="Times New Roman" w:hAnsi="Times New Roman"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4" w:type="pct"/>
            <w:noWrap w:val="0"/>
            <w:vAlign w:val="center"/>
          </w:tcPr>
          <w:p>
            <w:pPr>
              <w:pStyle w:val="18"/>
              <w:spacing w:line="24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lang w:val="en-US" w:eastAsia="zh-CN"/>
              </w:rPr>
              <w:t>5</w:t>
            </w:r>
          </w:p>
        </w:tc>
        <w:tc>
          <w:tcPr>
            <w:tcW w:w="2065" w:type="pct"/>
            <w:noWrap w:val="0"/>
            <w:vAlign w:val="center"/>
          </w:tcPr>
          <w:p>
            <w:pPr>
              <w:pStyle w:val="18"/>
              <w:spacing w:line="240" w:lineRule="auto"/>
              <w:ind w:firstLine="0" w:firstLineChars="0"/>
              <w:jc w:val="center"/>
              <w:rPr>
                <w:rFonts w:ascii="Times New Roman" w:hAnsi="Times New Roman" w:eastAsia="宋体"/>
              </w:rPr>
            </w:pPr>
            <w:r>
              <w:rPr>
                <w:rFonts w:hint="eastAsia" w:ascii="Times New Roman" w:hAnsi="Times New Roman" w:eastAsia="宋体"/>
              </w:rPr>
              <w:t>土方外运合理性</w:t>
            </w:r>
          </w:p>
        </w:tc>
        <w:tc>
          <w:tcPr>
            <w:tcW w:w="1392" w:type="pct"/>
            <w:noWrap w:val="0"/>
            <w:vAlign w:val="center"/>
          </w:tcPr>
          <w:p>
            <w:pPr>
              <w:pStyle w:val="18"/>
              <w:spacing w:line="240" w:lineRule="auto"/>
              <w:ind w:firstLine="0" w:firstLineChars="0"/>
              <w:jc w:val="center"/>
              <w:rPr>
                <w:rFonts w:ascii="Times New Roman" w:hAnsi="Times New Roman" w:eastAsia="宋体"/>
              </w:rPr>
            </w:pPr>
          </w:p>
        </w:tc>
        <w:tc>
          <w:tcPr>
            <w:tcW w:w="1097" w:type="pct"/>
            <w:noWrap w:val="0"/>
            <w:vAlign w:val="center"/>
          </w:tcPr>
          <w:p>
            <w:pPr>
              <w:pStyle w:val="18"/>
              <w:spacing w:line="240" w:lineRule="auto"/>
              <w:ind w:firstLine="0" w:firstLineChars="0"/>
              <w:jc w:val="center"/>
              <w:rPr>
                <w:rFonts w:ascii="Times New Roman" w:hAnsi="Times New Roman" w:eastAsia="宋体"/>
              </w:rPr>
            </w:pPr>
          </w:p>
        </w:tc>
      </w:tr>
    </w:tbl>
    <w:p>
      <w:pPr>
        <w:pStyle w:val="18"/>
        <w:numPr>
          <w:ilvl w:val="0"/>
          <w:numId w:val="2"/>
        </w:numPr>
        <w:spacing w:line="360" w:lineRule="auto"/>
        <w:ind w:left="0" w:leftChars="0" w:firstLine="0" w:firstLineChars="0"/>
        <w:jc w:val="center"/>
        <w:outlineLvl w:val="0"/>
        <w:rPr>
          <w:rFonts w:hint="eastAsia" w:asciiTheme="minorEastAsia" w:hAnsiTheme="minorEastAsia" w:eastAsiaTheme="minorEastAsia" w:cstheme="minorEastAsia"/>
          <w:b/>
          <w:bCs/>
          <w:sz w:val="28"/>
          <w:szCs w:val="28"/>
          <w:lang w:val="en-US" w:eastAsia="zh-CN"/>
        </w:rPr>
      </w:pPr>
      <w:r>
        <w:rPr>
          <w:rFonts w:hint="eastAsia"/>
          <w:b/>
          <w:bCs/>
          <w:sz w:val="28"/>
          <w:szCs w:val="28"/>
        </w:rPr>
        <w:br w:type="page"/>
      </w:r>
      <w:r>
        <w:rPr>
          <w:rFonts w:hint="eastAsia" w:asciiTheme="minorEastAsia" w:hAnsiTheme="minorEastAsia" w:eastAsiaTheme="minorEastAsia" w:cstheme="minorEastAsia"/>
          <w:b/>
          <w:bCs/>
          <w:sz w:val="28"/>
          <w:szCs w:val="28"/>
          <w:lang w:val="en-US" w:eastAsia="zh-CN"/>
        </w:rPr>
        <w:t>结论与建议</w:t>
      </w:r>
    </w:p>
    <w:p>
      <w:pPr>
        <w:spacing w:line="360" w:lineRule="auto"/>
        <w:outlineLvl w:val="1"/>
        <w:rPr>
          <w:rFonts w:hint="eastAsia" w:ascii="宋体" w:hAnsi="宋体" w:eastAsia="宋体" w:cs="宋体"/>
          <w:b/>
          <w:bCs/>
          <w:sz w:val="24"/>
        </w:rPr>
      </w:pPr>
      <w:r>
        <w:rPr>
          <w:rFonts w:hint="eastAsia" w:ascii="宋体" w:hAnsi="宋体" w:eastAsia="宋体" w:cs="宋体"/>
          <w:b/>
          <w:bCs/>
          <w:sz w:val="24"/>
          <w:lang w:val="en-US" w:eastAsia="zh-CN"/>
        </w:rPr>
        <w:t>7</w:t>
      </w:r>
      <w:r>
        <w:rPr>
          <w:rFonts w:hint="eastAsia" w:ascii="宋体" w:hAnsi="宋体" w:eastAsia="宋体" w:cs="宋体"/>
          <w:b/>
          <w:bCs/>
          <w:sz w:val="24"/>
        </w:rPr>
        <w:t>.1 土方平衡结论</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1、本项目总挖方量______m³</w:t>
      </w:r>
      <w:r>
        <w:rPr>
          <w:rFonts w:hint="eastAsia" w:ascii="宋体" w:hAnsi="宋体" w:eastAsia="宋体" w:cs="宋体"/>
          <w:sz w:val="24"/>
          <w:lang w:eastAsia="zh-CN"/>
        </w:rPr>
        <w:t>（</w:t>
      </w:r>
      <w:r>
        <w:rPr>
          <w:rFonts w:hint="eastAsia" w:ascii="宋体" w:hAnsi="宋体" w:eastAsia="宋体" w:cs="宋体"/>
          <w:sz w:val="24"/>
          <w:lang w:val="en-US" w:eastAsia="zh-CN"/>
        </w:rPr>
        <w:t>合计</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t</w:t>
      </w:r>
      <w:r>
        <w:rPr>
          <w:rFonts w:hint="eastAsia" w:ascii="宋体" w:hAnsi="宋体" w:eastAsia="宋体" w:cs="宋体"/>
          <w:sz w:val="24"/>
          <w:lang w:eastAsia="zh-CN"/>
        </w:rPr>
        <w:t>）</w:t>
      </w:r>
      <w:r>
        <w:rPr>
          <w:rFonts w:hint="eastAsia" w:ascii="宋体" w:hAnsi="宋体" w:eastAsia="宋体" w:cs="宋体"/>
          <w:sz w:val="24"/>
        </w:rPr>
        <w:t>，总填方量______m³</w:t>
      </w:r>
      <w:r>
        <w:rPr>
          <w:rFonts w:hint="eastAsia" w:ascii="宋体" w:hAnsi="宋体" w:eastAsia="宋体" w:cs="宋体"/>
          <w:sz w:val="24"/>
          <w:lang w:eastAsia="zh-CN"/>
        </w:rPr>
        <w:t>（</w:t>
      </w:r>
      <w:r>
        <w:rPr>
          <w:rFonts w:hint="eastAsia" w:ascii="宋体" w:hAnsi="宋体" w:eastAsia="宋体" w:cs="宋体"/>
          <w:sz w:val="24"/>
          <w:lang w:val="en-US" w:eastAsia="zh-CN"/>
        </w:rPr>
        <w:t>合计</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t</w:t>
      </w:r>
      <w:r>
        <w:rPr>
          <w:rFonts w:hint="eastAsia" w:ascii="宋体" w:hAnsi="宋体" w:eastAsia="宋体" w:cs="宋体"/>
          <w:sz w:val="24"/>
          <w:lang w:eastAsia="zh-CN"/>
        </w:rPr>
        <w:t>）</w:t>
      </w:r>
      <w:r>
        <w:rPr>
          <w:rFonts w:hint="eastAsia" w:ascii="宋体" w:hAnsi="宋体" w:eastAsia="宋体" w:cs="宋体"/>
          <w:sz w:val="24"/>
        </w:rPr>
        <w:t>，经平衡计算后需外运______m³</w:t>
      </w:r>
      <w:r>
        <w:rPr>
          <w:rFonts w:hint="eastAsia" w:ascii="宋体" w:hAnsi="宋体" w:eastAsia="宋体" w:cs="宋体"/>
          <w:sz w:val="24"/>
          <w:lang w:eastAsia="zh-CN"/>
        </w:rPr>
        <w:t>（</w:t>
      </w:r>
      <w:r>
        <w:rPr>
          <w:rFonts w:hint="eastAsia" w:ascii="宋体" w:hAnsi="宋体" w:eastAsia="宋体" w:cs="宋体"/>
          <w:sz w:val="24"/>
          <w:lang w:val="en-US" w:eastAsia="zh-CN"/>
        </w:rPr>
        <w:t>合计</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t</w:t>
      </w:r>
      <w:r>
        <w:rPr>
          <w:rFonts w:hint="eastAsia" w:ascii="宋体" w:hAnsi="宋体" w:eastAsia="宋体" w:cs="宋体"/>
          <w:sz w:val="24"/>
          <w:lang w:eastAsia="zh-CN"/>
        </w:rPr>
        <w:t>）</w:t>
      </w:r>
      <w:r>
        <w:rPr>
          <w:rFonts w:hint="eastAsia" w:ascii="宋体" w:hAnsi="宋体" w:eastAsia="宋体" w:cs="宋体"/>
          <w:sz w:val="24"/>
        </w:rPr>
        <w:t>，需外购/外运进______m³</w:t>
      </w:r>
      <w:r>
        <w:rPr>
          <w:rFonts w:hint="eastAsia" w:ascii="宋体" w:hAnsi="宋体" w:eastAsia="宋体" w:cs="宋体"/>
          <w:sz w:val="24"/>
          <w:lang w:eastAsia="zh-CN"/>
        </w:rPr>
        <w:t>（</w:t>
      </w:r>
      <w:r>
        <w:rPr>
          <w:rFonts w:hint="eastAsia" w:ascii="宋体" w:hAnsi="宋体" w:eastAsia="宋体" w:cs="宋体"/>
          <w:sz w:val="24"/>
          <w:lang w:val="en-US" w:eastAsia="zh-CN"/>
        </w:rPr>
        <w:t>合计</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t</w:t>
      </w:r>
      <w:r>
        <w:rPr>
          <w:rFonts w:hint="eastAsia" w:ascii="宋体" w:hAnsi="宋体" w:eastAsia="宋体" w:cs="宋体"/>
          <w:sz w:val="24"/>
          <w:lang w:eastAsia="zh-CN"/>
        </w:rPr>
        <w:t>）</w:t>
      </w:r>
      <w:r>
        <w:rPr>
          <w:rFonts w:hint="eastAsia" w:ascii="宋体" w:hAnsi="宋体" w:eastAsia="宋体" w:cs="宋体"/>
          <w:sz w:val="24"/>
        </w:rPr>
        <w:t>。</w:t>
      </w:r>
    </w:p>
    <w:p>
      <w:pPr>
        <w:spacing w:line="360" w:lineRule="auto"/>
        <w:ind w:firstLine="480"/>
        <w:rPr>
          <w:rFonts w:hint="eastAsia" w:ascii="宋体" w:hAnsi="宋体" w:eastAsia="宋体" w:cs="宋体"/>
          <w:sz w:val="24"/>
          <w:lang w:eastAsia="zh-CN"/>
        </w:rPr>
      </w:pPr>
      <w:r>
        <w:rPr>
          <w:rFonts w:hint="eastAsia" w:ascii="宋体" w:hAnsi="宋体" w:eastAsia="宋体" w:cs="宋体"/>
          <w:sz w:val="24"/>
        </w:rPr>
        <w:t>2、</w:t>
      </w:r>
      <w:r>
        <w:rPr>
          <w:rFonts w:hint="eastAsia" w:ascii="宋体" w:hAnsi="宋体" w:eastAsia="宋体" w:cs="宋体"/>
          <w:sz w:val="24"/>
          <w:szCs w:val="24"/>
        </w:rPr>
        <w:t>通过______</w:t>
      </w:r>
      <w:r>
        <w:rPr>
          <w:rFonts w:hint="eastAsia" w:ascii="宋体" w:hAnsi="宋体" w:eastAsia="宋体" w:cs="宋体"/>
          <w:color w:val="C00000"/>
          <w:sz w:val="24"/>
          <w:szCs w:val="24"/>
          <w:u w:val="wave"/>
        </w:rPr>
        <w:t>（具体措施）</w:t>
      </w:r>
      <w:r>
        <w:rPr>
          <w:rFonts w:hint="eastAsia" w:ascii="宋体" w:hAnsi="宋体" w:eastAsia="宋体" w:cs="宋体"/>
          <w:sz w:val="24"/>
          <w:szCs w:val="24"/>
        </w:rPr>
        <w:t>实现场内土方最大化利用，减少外运量______m³</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合计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t</w:t>
      </w:r>
      <w:r>
        <w:rPr>
          <w:rFonts w:hint="eastAsia" w:ascii="宋体" w:hAnsi="宋体" w:eastAsia="宋体" w:cs="宋体"/>
          <w:color w:val="auto"/>
          <w:sz w:val="24"/>
          <w:szCs w:val="24"/>
          <w:lang w:eastAsia="zh-CN"/>
        </w:rPr>
        <w:t>）</w:t>
      </w:r>
      <w:r>
        <w:rPr>
          <w:rFonts w:hint="eastAsia" w:ascii="宋体" w:hAnsi="宋体" w:eastAsia="宋体" w:cs="宋体"/>
          <w:sz w:val="24"/>
          <w:szCs w:val="24"/>
          <w:lang w:eastAsia="zh-CN"/>
        </w:rPr>
        <w:t>，</w:t>
      </w:r>
      <w:r>
        <w:rPr>
          <w:rFonts w:hint="eastAsia" w:ascii="宋体" w:hAnsi="宋体" w:eastAsia="宋体" w:cs="宋体"/>
          <w:sz w:val="24"/>
        </w:rPr>
        <w:t xml:space="preserve">自平衡率为______% </w:t>
      </w:r>
      <w:r>
        <w:rPr>
          <w:rFonts w:hint="eastAsia" w:ascii="宋体" w:hAnsi="宋体" w:eastAsia="宋体" w:cs="宋体"/>
          <w:sz w:val="24"/>
          <w:lang w:eastAsia="zh-CN"/>
        </w:rPr>
        <w:t>。</w:t>
      </w:r>
    </w:p>
    <w:p>
      <w:pPr>
        <w:spacing w:line="360" w:lineRule="auto"/>
        <w:outlineLvl w:val="1"/>
        <w:rPr>
          <w:rFonts w:hint="eastAsia" w:ascii="宋体" w:hAnsi="宋体" w:eastAsia="宋体" w:cs="宋体"/>
          <w:b/>
          <w:bCs/>
          <w:sz w:val="24"/>
        </w:rPr>
      </w:pPr>
      <w:r>
        <w:rPr>
          <w:rFonts w:hint="eastAsia" w:ascii="宋体" w:hAnsi="宋体" w:eastAsia="宋体" w:cs="宋体"/>
          <w:b/>
          <w:bCs/>
          <w:sz w:val="24"/>
          <w:lang w:val="en-US" w:eastAsia="zh-CN"/>
        </w:rPr>
        <w:t>7</w:t>
      </w:r>
      <w:r>
        <w:rPr>
          <w:rFonts w:hint="eastAsia" w:ascii="宋体" w:hAnsi="宋体" w:eastAsia="宋体" w:cs="宋体"/>
          <w:b/>
          <w:bCs/>
          <w:sz w:val="24"/>
        </w:rPr>
        <w:t>.2 建筑垃圾减量化结论</w:t>
      </w:r>
    </w:p>
    <w:p>
      <w:pPr>
        <w:spacing w:line="360" w:lineRule="auto"/>
        <w:ind w:firstLine="480"/>
        <w:rPr>
          <w:rFonts w:hint="eastAsia" w:ascii="宋体" w:hAnsi="宋体" w:eastAsia="宋体" w:cs="宋体"/>
          <w:sz w:val="24"/>
        </w:rPr>
      </w:pPr>
      <w:r>
        <w:rPr>
          <w:rFonts w:hint="eastAsia" w:ascii="宋体" w:hAnsi="宋体" w:eastAsia="宋体" w:cs="宋体"/>
          <w:sz w:val="24"/>
        </w:rPr>
        <w:t>1、预估建筑垃圾总产生量</w:t>
      </w:r>
      <w:r>
        <w:rPr>
          <w:rFonts w:hint="eastAsia" w:ascii="宋体" w:hAnsi="宋体" w:eastAsia="宋体" w:cs="宋体"/>
          <w:sz w:val="24"/>
          <w:lang w:eastAsia="zh-CN"/>
        </w:rPr>
        <w:t>（</w:t>
      </w:r>
      <w:r>
        <w:rPr>
          <w:rFonts w:hint="eastAsia" w:ascii="宋体" w:hAnsi="宋体" w:eastAsia="宋体" w:cs="宋体"/>
          <w:sz w:val="24"/>
          <w:lang w:val="en-US" w:eastAsia="zh-CN"/>
        </w:rPr>
        <w:t>A</w:t>
      </w:r>
      <w:r>
        <w:rPr>
          <w:rFonts w:hint="eastAsia" w:ascii="宋体" w:hAnsi="宋体" w:eastAsia="宋体" w:cs="宋体"/>
          <w:sz w:val="24"/>
          <w:lang w:eastAsia="zh-CN"/>
        </w:rPr>
        <w:t>）</w:t>
      </w:r>
      <w:r>
        <w:rPr>
          <w:rFonts w:hint="eastAsia" w:ascii="宋体" w:hAnsi="宋体" w:eastAsia="宋体" w:cs="宋体"/>
          <w:sz w:val="24"/>
        </w:rPr>
        <w:t>约______m³</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合计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t</w:t>
      </w:r>
      <w:r>
        <w:rPr>
          <w:rFonts w:hint="eastAsia" w:ascii="宋体" w:hAnsi="宋体" w:eastAsia="宋体" w:cs="宋体"/>
          <w:color w:val="auto"/>
          <w:sz w:val="24"/>
          <w:szCs w:val="24"/>
          <w:lang w:eastAsia="zh-CN"/>
        </w:rPr>
        <w:t>）</w:t>
      </w:r>
      <w:r>
        <w:rPr>
          <w:rFonts w:hint="eastAsia" w:ascii="宋体" w:hAnsi="宋体" w:eastAsia="宋体" w:cs="宋体"/>
          <w:sz w:val="24"/>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、通过______</w:t>
      </w:r>
      <w:r>
        <w:rPr>
          <w:rFonts w:hint="eastAsia" w:ascii="宋体" w:hAnsi="宋体" w:eastAsia="宋体" w:cs="宋体"/>
          <w:color w:val="C00000"/>
          <w:sz w:val="24"/>
          <w:u w:val="wave"/>
        </w:rPr>
        <w:t>（具体措施）</w:t>
      </w:r>
      <w:r>
        <w:rPr>
          <w:rFonts w:hint="eastAsia" w:ascii="宋体" w:hAnsi="宋体" w:eastAsia="宋体" w:cs="宋体"/>
          <w:sz w:val="24"/>
        </w:rPr>
        <w:t>实现</w:t>
      </w:r>
      <w:r>
        <w:rPr>
          <w:rFonts w:hint="eastAsia" w:ascii="宋体" w:hAnsi="宋体" w:eastAsia="宋体" w:cs="宋体"/>
          <w:sz w:val="24"/>
          <w:lang w:val="en-US" w:eastAsia="zh-CN"/>
        </w:rPr>
        <w:t>建筑垃圾减量化</w:t>
      </w:r>
      <w:r>
        <w:rPr>
          <w:rFonts w:hint="eastAsia" w:ascii="宋体" w:hAnsi="宋体" w:eastAsia="宋体" w:cs="宋体"/>
          <w:sz w:val="24"/>
          <w:lang w:eastAsia="zh-CN"/>
        </w:rPr>
        <w:t>（</w:t>
      </w:r>
      <w:r>
        <w:rPr>
          <w:rFonts w:hint="eastAsia" w:ascii="宋体" w:hAnsi="宋体" w:eastAsia="宋体" w:cs="宋体"/>
          <w:sz w:val="24"/>
          <w:lang w:val="en-US" w:eastAsia="zh-CN"/>
        </w:rPr>
        <w:t>B</w:t>
      </w:r>
      <w:r>
        <w:rPr>
          <w:rFonts w:hint="eastAsia" w:ascii="宋体" w:hAnsi="宋体" w:eastAsia="宋体" w:cs="宋体"/>
          <w:sz w:val="24"/>
          <w:lang w:eastAsia="zh-CN"/>
        </w:rPr>
        <w:t>）</w:t>
      </w:r>
      <w:r>
        <w:rPr>
          <w:rFonts w:hint="eastAsia" w:ascii="宋体" w:hAnsi="宋体" w:eastAsia="宋体" w:cs="宋体"/>
          <w:sz w:val="24"/>
        </w:rPr>
        <w:t>______m³</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合计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排放量下降</w:t>
      </w:r>
      <w:r>
        <w:rPr>
          <w:rFonts w:hint="eastAsia" w:ascii="宋体" w:hAnsi="宋体" w:eastAsia="宋体" w:cs="宋体"/>
          <w:sz w:val="24"/>
        </w:rPr>
        <w:t>______%</w:t>
      </w:r>
      <w:r>
        <w:rPr>
          <w:rFonts w:hint="eastAsia" w:ascii="宋体" w:hAnsi="宋体" w:eastAsia="宋体" w:cs="宋体"/>
          <w:sz w:val="24"/>
          <w:szCs w:val="24"/>
          <w:lang w:val="en-US" w:eastAsia="zh-CN"/>
        </w:rPr>
        <w:t>（计算公式为B/(A+B）*100%）</w:t>
      </w:r>
      <w:r>
        <w:rPr>
          <w:rFonts w:hint="eastAsia" w:ascii="宋体" w:hAnsi="宋体" w:eastAsia="宋体" w:cs="宋体"/>
          <w:sz w:val="24"/>
          <w:lang w:eastAsia="zh-CN"/>
        </w:rPr>
        <w:t>，</w:t>
      </w:r>
      <w:r>
        <w:rPr>
          <w:rFonts w:hint="eastAsia" w:ascii="宋体" w:hAnsi="宋体" w:eastAsia="宋体" w:cs="宋体"/>
          <w:sz w:val="24"/>
          <w:szCs w:val="24"/>
          <w:lang w:val="en-US" w:eastAsia="zh-CN"/>
        </w:rPr>
        <w:t>满足</w:t>
      </w:r>
      <w:r>
        <w:rPr>
          <w:rFonts w:hint="eastAsia" w:ascii="宋体" w:hAnsi="宋体" w:eastAsia="宋体" w:cs="宋体"/>
          <w:color w:val="000000"/>
          <w:sz w:val="24"/>
          <w:szCs w:val="24"/>
          <w:lang w:val="en-US" w:eastAsia="zh-CN"/>
        </w:rPr>
        <w:t>“工程渣土、工程泥浆排放量较估算值下降3%”的要求。</w:t>
      </w:r>
      <w:r>
        <w:rPr>
          <w:rFonts w:hint="eastAsia" w:ascii="宋体" w:hAnsi="宋体" w:eastAsia="宋体" w:cs="宋体"/>
          <w:color w:val="C00000"/>
          <w:sz w:val="24"/>
          <w:szCs w:val="24"/>
          <w:u w:val="wave"/>
          <w:lang w:val="en-US" w:eastAsia="zh-CN"/>
        </w:rPr>
        <w:t>（如不能满足，应充分说明原因）</w:t>
      </w:r>
    </w:p>
    <w:p>
      <w:pPr>
        <w:spacing w:line="360" w:lineRule="auto"/>
        <w:outlineLvl w:val="1"/>
        <w:rPr>
          <w:rFonts w:hint="eastAsia" w:ascii="宋体" w:hAnsi="宋体" w:eastAsia="宋体" w:cs="宋体"/>
          <w:b/>
          <w:bCs/>
          <w:sz w:val="24"/>
        </w:rPr>
      </w:pPr>
      <w:r>
        <w:rPr>
          <w:rFonts w:hint="eastAsia" w:ascii="宋体" w:hAnsi="宋体" w:eastAsia="宋体" w:cs="宋体"/>
          <w:b/>
          <w:bCs/>
          <w:sz w:val="24"/>
          <w:lang w:val="en-US" w:eastAsia="zh-CN"/>
        </w:rPr>
        <w:t>7</w:t>
      </w:r>
      <w:r>
        <w:rPr>
          <w:rFonts w:hint="eastAsia" w:ascii="宋体" w:hAnsi="宋体" w:eastAsia="宋体" w:cs="宋体"/>
          <w:b/>
          <w:bCs/>
          <w:sz w:val="24"/>
        </w:rPr>
        <w:t>.</w:t>
      </w:r>
      <w:r>
        <w:rPr>
          <w:rFonts w:hint="eastAsia" w:ascii="宋体" w:hAnsi="宋体" w:eastAsia="宋体" w:cs="宋体"/>
          <w:b/>
          <w:bCs/>
          <w:sz w:val="24"/>
          <w:lang w:val="en-US" w:eastAsia="zh-CN"/>
        </w:rPr>
        <w:t>3</w:t>
      </w:r>
      <w:r>
        <w:rPr>
          <w:rFonts w:hint="eastAsia" w:ascii="宋体" w:hAnsi="宋体" w:eastAsia="宋体" w:cs="宋体"/>
          <w:b/>
          <w:bCs/>
          <w:sz w:val="24"/>
        </w:rPr>
        <w:t>减量化措施建议</w:t>
      </w:r>
    </w:p>
    <w:p>
      <w:pPr>
        <w:spacing w:line="360" w:lineRule="auto"/>
        <w:ind w:firstLine="480" w:firstLineChars="200"/>
        <w:rPr>
          <w:rFonts w:hint="eastAsia" w:ascii="宋体" w:hAnsi="宋体" w:eastAsia="宋体" w:cs="宋体"/>
          <w:color w:val="C00000"/>
          <w:sz w:val="24"/>
          <w:u w:val="wave"/>
        </w:rPr>
      </w:pPr>
      <w:r>
        <w:rPr>
          <w:rFonts w:hint="eastAsia" w:ascii="宋体" w:hAnsi="宋体" w:eastAsia="宋体" w:cs="宋体"/>
          <w:color w:val="C00000"/>
          <w:sz w:val="24"/>
          <w:u w:val="wave"/>
        </w:rPr>
        <w:t>根据实际情况</w:t>
      </w:r>
      <w:r>
        <w:rPr>
          <w:rFonts w:hint="eastAsia" w:ascii="宋体" w:hAnsi="宋体" w:eastAsia="宋体" w:cs="宋体"/>
          <w:color w:val="C00000"/>
          <w:sz w:val="24"/>
          <w:u w:val="wave"/>
          <w:lang w:val="en-US" w:eastAsia="zh-CN"/>
        </w:rPr>
        <w:t>简要</w:t>
      </w:r>
      <w:r>
        <w:rPr>
          <w:rFonts w:hint="eastAsia" w:ascii="宋体" w:hAnsi="宋体" w:eastAsia="宋体" w:cs="宋体"/>
          <w:color w:val="C00000"/>
          <w:sz w:val="24"/>
          <w:u w:val="wave"/>
        </w:rPr>
        <w:t>填写</w:t>
      </w:r>
      <w:r>
        <w:rPr>
          <w:rFonts w:hint="eastAsia" w:ascii="宋体" w:hAnsi="宋体" w:eastAsia="宋体" w:cs="宋体"/>
          <w:color w:val="C00000"/>
          <w:sz w:val="24"/>
          <w:u w:val="wave"/>
          <w:lang w:val="en-US" w:eastAsia="zh-CN"/>
        </w:rPr>
        <w:t>可落地优化建议</w:t>
      </w:r>
      <w:r>
        <w:rPr>
          <w:rFonts w:hint="eastAsia" w:ascii="宋体" w:hAnsi="宋体" w:eastAsia="宋体" w:cs="宋体"/>
          <w:color w:val="C00000"/>
          <w:sz w:val="24"/>
          <w:u w:val="wave"/>
        </w:rPr>
        <w:t>。</w:t>
      </w:r>
    </w:p>
    <w:p>
      <w:pPr>
        <w:spacing w:line="360" w:lineRule="auto"/>
        <w:rPr>
          <w:rFonts w:hint="eastAsia"/>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rFonts w:hint="eastAsia"/>
          <w:sz w:val="24"/>
        </w:rPr>
      </w:pPr>
    </w:p>
    <w:p>
      <w:pPr>
        <w:numPr>
          <w:ilvl w:val="0"/>
          <w:numId w:val="2"/>
        </w:numPr>
        <w:spacing w:line="360" w:lineRule="auto"/>
        <w:jc w:val="center"/>
        <w:outlineLvl w:val="0"/>
        <w:rPr>
          <w:rFonts w:hint="eastAsia"/>
          <w:b/>
          <w:bCs/>
          <w:sz w:val="28"/>
          <w:szCs w:val="28"/>
        </w:rPr>
      </w:pPr>
      <w:r>
        <w:rPr>
          <w:rFonts w:hint="eastAsia"/>
          <w:b/>
          <w:bCs/>
          <w:sz w:val="28"/>
          <w:szCs w:val="28"/>
        </w:rPr>
        <w:br w:type="page"/>
      </w:r>
      <w:r>
        <w:rPr>
          <w:rFonts w:hint="eastAsia"/>
          <w:b/>
          <w:bCs/>
          <w:sz w:val="28"/>
          <w:szCs w:val="28"/>
        </w:rPr>
        <w:t>附件</w:t>
      </w:r>
    </w:p>
    <w:p>
      <w:pPr>
        <w:spacing w:line="360" w:lineRule="auto"/>
        <w:rPr>
          <w:rFonts w:hint="eastAsia" w:ascii="宋体" w:hAnsi="宋体" w:eastAsia="宋体" w:cs="宋体"/>
          <w:sz w:val="24"/>
        </w:rPr>
      </w:pPr>
      <w:r>
        <w:rPr>
          <w:rFonts w:hint="eastAsia" w:ascii="宋体" w:hAnsi="宋体" w:eastAsia="宋体" w:cs="宋体"/>
          <w:sz w:val="24"/>
        </w:rPr>
        <w:t>1、场地原始地形图及设计标高图</w:t>
      </w:r>
    </w:p>
    <w:p>
      <w:pPr>
        <w:spacing w:line="360" w:lineRule="auto"/>
        <w:rPr>
          <w:rFonts w:hint="eastAsia"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、土质勘察报告</w:t>
      </w:r>
    </w:p>
    <w:p>
      <w:pPr>
        <w:spacing w:line="360" w:lineRule="auto"/>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、土方计算三维模型（BIM+GIS）（如有）</w:t>
      </w:r>
    </w:p>
    <w:p>
      <w:pPr>
        <w:spacing w:line="360" w:lineRule="auto"/>
        <w:rPr>
          <w:rFonts w:hint="eastAsia" w:ascii="宋体" w:hAnsi="宋体" w:eastAsia="宋体" w:cs="宋体"/>
          <w:sz w:val="24"/>
        </w:rPr>
      </w:pPr>
      <w:r>
        <w:rPr>
          <w:rFonts w:hint="eastAsia" w:ascii="宋体" w:hAnsi="宋体" w:eastAsia="宋体" w:cs="宋体"/>
          <w:sz w:val="24"/>
        </w:rPr>
        <w:t>4、建筑垃圾处置协议/意向书（如有）</w:t>
      </w:r>
    </w:p>
    <w:p>
      <w:pPr>
        <w:spacing w:line="360" w:lineRule="auto"/>
        <w:rPr>
          <w:rFonts w:hint="eastAsia" w:ascii="宋体" w:hAnsi="宋体" w:eastAsia="宋体" w:cs="宋体"/>
          <w:sz w:val="24"/>
        </w:rPr>
      </w:pPr>
      <w:r>
        <w:rPr>
          <w:rFonts w:hint="eastAsia" w:ascii="宋体" w:hAnsi="宋体" w:eastAsia="宋体" w:cs="宋体"/>
          <w:sz w:val="24"/>
        </w:rPr>
        <w:t>5、相邻项目共建共享协议（如有）</w:t>
      </w:r>
    </w:p>
    <w:p>
      <w:pPr>
        <w:spacing w:line="360" w:lineRule="auto"/>
        <w:rPr>
          <w:rFonts w:hint="eastAsia" w:ascii="宋体" w:hAnsi="宋体" w:eastAsia="宋体" w:cs="宋体"/>
          <w:sz w:val="24"/>
        </w:rPr>
      </w:pPr>
      <w:r>
        <w:rPr>
          <w:rFonts w:hint="eastAsia" w:ascii="宋体" w:hAnsi="宋体" w:eastAsia="宋体" w:cs="宋体"/>
          <w:sz w:val="24"/>
        </w:rPr>
        <w:t>6、其他相关资料：________________________</w:t>
      </w:r>
    </w:p>
    <w:p>
      <w:pPr>
        <w:spacing w:line="360" w:lineRule="auto"/>
        <w:rPr>
          <w:rFonts w:hint="eastAsia"/>
          <w:sz w:val="24"/>
        </w:rPr>
      </w:pPr>
    </w:p>
    <w:p>
      <w:pPr>
        <w:spacing w:line="360" w:lineRule="auto"/>
        <w:rPr>
          <w:rFonts w:hint="eastAsia"/>
          <w:sz w:val="24"/>
        </w:rPr>
      </w:pPr>
    </w:p>
    <w:p>
      <w:pPr>
        <w:spacing w:line="360" w:lineRule="auto"/>
        <w:rPr>
          <w:rFonts w:hint="eastAsia"/>
          <w:sz w:val="24"/>
        </w:rPr>
      </w:pPr>
    </w:p>
    <w:p>
      <w:pPr>
        <w:spacing w:line="360" w:lineRule="auto"/>
        <w:rPr>
          <w:rFonts w:hint="eastAsia"/>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rFonts w:hint="eastAsia"/>
          <w:sz w:val="24"/>
        </w:rPr>
      </w:pPr>
    </w:p>
    <w:p>
      <w:pPr>
        <w:spacing w:line="360" w:lineRule="auto"/>
        <w:rPr>
          <w:rFonts w:hint="eastAsia"/>
          <w:sz w:val="24"/>
        </w:rPr>
      </w:pPr>
    </w:p>
    <w:p>
      <w:pPr>
        <w:spacing w:line="360" w:lineRule="auto"/>
        <w:jc w:val="right"/>
        <w:rPr>
          <w:rFonts w:hint="eastAsia"/>
          <w:sz w:val="24"/>
        </w:rPr>
      </w:pPr>
    </w:p>
    <w:p>
      <w:pPr>
        <w:spacing w:line="360" w:lineRule="auto"/>
        <w:jc w:val="right"/>
        <w:rPr>
          <w:rFonts w:hint="eastAsia" w:ascii="宋体" w:hAnsi="宋体" w:eastAsia="宋体" w:cs="宋体"/>
          <w:sz w:val="24"/>
        </w:rPr>
      </w:pPr>
      <w:r>
        <w:rPr>
          <w:rFonts w:hint="eastAsia" w:ascii="宋体" w:hAnsi="宋体" w:eastAsia="宋体" w:cs="宋体"/>
          <w:sz w:val="24"/>
        </w:rPr>
        <w:t>编制人：_________ 审核人：_______ 批准人：________</w:t>
      </w:r>
    </w:p>
    <w:p>
      <w:pPr>
        <w:spacing w:line="360" w:lineRule="auto"/>
        <w:jc w:val="right"/>
        <w:rPr>
          <w:rFonts w:hint="eastAsia" w:ascii="宋体" w:hAnsi="宋体" w:eastAsia="宋体" w:cs="宋体"/>
          <w:sz w:val="24"/>
        </w:rPr>
      </w:pPr>
      <w:r>
        <w:rPr>
          <w:rFonts w:hint="eastAsia" w:ascii="宋体" w:hAnsi="宋体" w:eastAsia="宋体" w:cs="宋体"/>
          <w:sz w:val="24"/>
        </w:rPr>
        <w:t>日期：______年______月______日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E86DB"/>
    <w:multiLevelType w:val="singleLevel"/>
    <w:tmpl w:val="D4DE86DB"/>
    <w:lvl w:ilvl="0" w:tentative="0">
      <w:start w:val="1"/>
      <w:numFmt w:val="chineseCounting"/>
      <w:suff w:val="nothing"/>
      <w:lvlText w:val="（%1）"/>
      <w:lvlJc w:val="left"/>
      <w:rPr>
        <w:rFonts w:hint="eastAsia"/>
        <w:color w:val="auto"/>
      </w:rPr>
    </w:lvl>
  </w:abstractNum>
  <w:abstractNum w:abstractNumId="1">
    <w:nsid w:val="E3072241"/>
    <w:multiLevelType w:val="singleLevel"/>
    <w:tmpl w:val="E3072241"/>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4YjIyN2QwZjRkMTI4YTVkNWI2NWI1MDkxOWJlYzgifQ=="/>
  </w:docVars>
  <w:rsids>
    <w:rsidRoot w:val="00172A27"/>
    <w:rsid w:val="000352B2"/>
    <w:rsid w:val="000E7233"/>
    <w:rsid w:val="00191763"/>
    <w:rsid w:val="001B001E"/>
    <w:rsid w:val="004C5124"/>
    <w:rsid w:val="005D7598"/>
    <w:rsid w:val="00AA1D66"/>
    <w:rsid w:val="00B81DB0"/>
    <w:rsid w:val="00F401F4"/>
    <w:rsid w:val="010D427B"/>
    <w:rsid w:val="018A7679"/>
    <w:rsid w:val="0BB46580"/>
    <w:rsid w:val="0CE61D6D"/>
    <w:rsid w:val="0E1529C0"/>
    <w:rsid w:val="0E172295"/>
    <w:rsid w:val="0E3B2427"/>
    <w:rsid w:val="0E8A5B1C"/>
    <w:rsid w:val="108A2305"/>
    <w:rsid w:val="113626A1"/>
    <w:rsid w:val="114A0E00"/>
    <w:rsid w:val="11B65A10"/>
    <w:rsid w:val="13E56991"/>
    <w:rsid w:val="1A210F68"/>
    <w:rsid w:val="1D88790C"/>
    <w:rsid w:val="1D94745E"/>
    <w:rsid w:val="234F08C0"/>
    <w:rsid w:val="25332086"/>
    <w:rsid w:val="25E42F4C"/>
    <w:rsid w:val="2725448D"/>
    <w:rsid w:val="274614B1"/>
    <w:rsid w:val="28522C9B"/>
    <w:rsid w:val="299B7DC6"/>
    <w:rsid w:val="2BDB26FC"/>
    <w:rsid w:val="2CEF2903"/>
    <w:rsid w:val="31D6343D"/>
    <w:rsid w:val="324F174E"/>
    <w:rsid w:val="328A09D8"/>
    <w:rsid w:val="34BC0FB1"/>
    <w:rsid w:val="35BB7EFA"/>
    <w:rsid w:val="38646D95"/>
    <w:rsid w:val="393F076E"/>
    <w:rsid w:val="3ACF78CF"/>
    <w:rsid w:val="3D566086"/>
    <w:rsid w:val="3F962F47"/>
    <w:rsid w:val="3F9F0CF0"/>
    <w:rsid w:val="423B3F3C"/>
    <w:rsid w:val="433E65C2"/>
    <w:rsid w:val="43EE1C7B"/>
    <w:rsid w:val="45344EFF"/>
    <w:rsid w:val="45782228"/>
    <w:rsid w:val="45DD7344"/>
    <w:rsid w:val="475B594A"/>
    <w:rsid w:val="49CA7BE0"/>
    <w:rsid w:val="4AD8192B"/>
    <w:rsid w:val="4D403020"/>
    <w:rsid w:val="4F495A4B"/>
    <w:rsid w:val="50097B4C"/>
    <w:rsid w:val="5386726D"/>
    <w:rsid w:val="54D7039F"/>
    <w:rsid w:val="55456CB4"/>
    <w:rsid w:val="57201787"/>
    <w:rsid w:val="57E5266B"/>
    <w:rsid w:val="57E83927"/>
    <w:rsid w:val="591330EB"/>
    <w:rsid w:val="5ABE5A4B"/>
    <w:rsid w:val="5BC528FD"/>
    <w:rsid w:val="5C0C22DA"/>
    <w:rsid w:val="5C202E83"/>
    <w:rsid w:val="5D155832"/>
    <w:rsid w:val="5DD62B9F"/>
    <w:rsid w:val="5F390526"/>
    <w:rsid w:val="5F926F9A"/>
    <w:rsid w:val="5FC5111D"/>
    <w:rsid w:val="60151C26"/>
    <w:rsid w:val="611B1BA3"/>
    <w:rsid w:val="61EB26C7"/>
    <w:rsid w:val="629D73A4"/>
    <w:rsid w:val="63251BB8"/>
    <w:rsid w:val="640C7BE6"/>
    <w:rsid w:val="65B02241"/>
    <w:rsid w:val="67D5211A"/>
    <w:rsid w:val="68E319C0"/>
    <w:rsid w:val="69153725"/>
    <w:rsid w:val="693D5B23"/>
    <w:rsid w:val="6AE663EC"/>
    <w:rsid w:val="6B2A452A"/>
    <w:rsid w:val="6E1D0376"/>
    <w:rsid w:val="6E89335C"/>
    <w:rsid w:val="6F89067B"/>
    <w:rsid w:val="6FD607DD"/>
    <w:rsid w:val="72147802"/>
    <w:rsid w:val="72A42E14"/>
    <w:rsid w:val="730A44C4"/>
    <w:rsid w:val="73634FBB"/>
    <w:rsid w:val="747E1443"/>
    <w:rsid w:val="751E5E17"/>
    <w:rsid w:val="753D2656"/>
    <w:rsid w:val="77106899"/>
    <w:rsid w:val="7BC80F82"/>
    <w:rsid w:val="7CAA7302"/>
    <w:rsid w:val="7D9D4CFC"/>
    <w:rsid w:val="7DBC050C"/>
    <w:rsid w:val="7EA004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autoRedefine/>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footer"/>
    <w:basedOn w:val="1"/>
    <w:autoRedefine/>
    <w:semiHidden/>
    <w:unhideWhenUsed/>
    <w:qFormat/>
    <w:uiPriority w:val="99"/>
    <w:pPr>
      <w:tabs>
        <w:tab w:val="center" w:pos="4153"/>
        <w:tab w:val="right" w:pos="8306"/>
      </w:tabs>
      <w:snapToGrid w:val="0"/>
      <w:jc w:val="left"/>
    </w:pPr>
    <w:rPr>
      <w:sz w:val="18"/>
    </w:rPr>
  </w:style>
  <w:style w:type="paragraph" w:styleId="6">
    <w:name w:val="header"/>
    <w:basedOn w:val="1"/>
    <w:autoRedefine/>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autoRedefine/>
    <w:qFormat/>
    <w:uiPriority w:val="39"/>
  </w:style>
  <w:style w:type="paragraph" w:styleId="8">
    <w:name w:val="toc 2"/>
    <w:basedOn w:val="1"/>
    <w:next w:val="1"/>
    <w:autoRedefine/>
    <w:qFormat/>
    <w:uiPriority w:val="0"/>
    <w:pPr>
      <w:ind w:left="420" w:leftChars="200"/>
    </w:pPr>
  </w:style>
  <w:style w:type="paragraph" w:styleId="9">
    <w:name w:val="Normal (Web)"/>
    <w:basedOn w:val="1"/>
    <w:autoRedefine/>
    <w:qFormat/>
    <w:uiPriority w:val="0"/>
    <w:rPr>
      <w:sz w:val="24"/>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b/>
    </w:rPr>
  </w:style>
  <w:style w:type="character" w:styleId="14">
    <w:name w:val="annotation reference"/>
    <w:autoRedefine/>
    <w:qFormat/>
    <w:uiPriority w:val="0"/>
    <w:rPr>
      <w:sz w:val="21"/>
      <w:szCs w:val="21"/>
    </w:rPr>
  </w:style>
  <w:style w:type="paragraph" w:customStyle="1" w:styleId="15">
    <w:name w:val="正文首行缩进 21"/>
    <w:basedOn w:val="16"/>
    <w:autoRedefine/>
    <w:qFormat/>
    <w:uiPriority w:val="0"/>
    <w:pPr>
      <w:ind w:firstLine="420" w:firstLineChars="200"/>
    </w:pPr>
  </w:style>
  <w:style w:type="paragraph" w:customStyle="1" w:styleId="16">
    <w:name w:val="正文文本缩进1"/>
    <w:basedOn w:val="1"/>
    <w:autoRedefine/>
    <w:qFormat/>
    <w:uiPriority w:val="0"/>
    <w:pPr>
      <w:ind w:left="420" w:leftChars="200"/>
    </w:pPr>
  </w:style>
  <w:style w:type="character" w:customStyle="1" w:styleId="17">
    <w:name w:val="font81"/>
    <w:basedOn w:val="12"/>
    <w:autoRedefine/>
    <w:qFormat/>
    <w:uiPriority w:val="0"/>
    <w:rPr>
      <w:rFonts w:ascii="仿宋_GB2312" w:eastAsia="仿宋_GB2312" w:cs="仿宋_GB2312"/>
      <w:color w:val="000000"/>
      <w:sz w:val="28"/>
      <w:szCs w:val="28"/>
      <w:u w:val="none"/>
    </w:rPr>
  </w:style>
  <w:style w:type="paragraph" w:styleId="18">
    <w:name w:val="List Paragraph"/>
    <w:basedOn w:val="1"/>
    <w:autoRedefine/>
    <w:qFormat/>
    <w:uiPriority w:val="34"/>
    <w:pPr>
      <w:ind w:firstLine="420" w:firstLineChars="200"/>
    </w:pPr>
  </w:style>
  <w:style w:type="paragraph" w:customStyle="1" w:styleId="19">
    <w:name w:val="WPSOffice手动目录 1"/>
    <w:uiPriority w:val="0"/>
    <w:pPr>
      <w:ind w:leftChars="0"/>
    </w:pPr>
    <w:rPr>
      <w:rFonts w:ascii="Times New Roman" w:hAnsi="Times New Roman" w:eastAsia="宋体" w:cs="Times New Roman"/>
      <w:sz w:val="20"/>
      <w:szCs w:val="20"/>
    </w:rPr>
  </w:style>
  <w:style w:type="paragraph" w:customStyle="1" w:styleId="20">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6330</Words>
  <Characters>7186</Characters>
  <TotalTime>1</TotalTime>
  <ScaleCrop>false</ScaleCrop>
  <LinksUpToDate>false</LinksUpToDate>
  <CharactersWithSpaces>7278</CharactersWithSpaces>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2026-03-09T18:00:00Z</dcterms:created>
  <dc:creator>PC</dc:creator>
  <cp:lastModifiedBy>杨含悦</cp:lastModifiedBy>
  <dcterms:modified xsi:type="dcterms:W3CDTF">2026-04-09T01:58:02Z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eyJoZGlkIjoiNGM1ODFiMmM0N2I4MTY3MGVlOTRmZTM3Y2UzODI5MDkiLCJ1c2VySWQiOiIyNzk3NzI5OTQifQ==</vt:lpwstr>
  </property>
  <property fmtid="{D5CDD505-2E9C-101B-9397-08002B2CF9AE}" pid="3" name="KSOProductBuildVer">
    <vt:lpwstr>2052-12.1.0.16120</vt:lpwstr>
  </property>
  <property fmtid="{D5CDD505-2E9C-101B-9397-08002B2CF9AE}" pid="4" name="ICV">
    <vt:lpwstr>3E33C440199248998F81961636310EAC_13</vt:lpwstr>
  </property>
</Properties>
</file>