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outlineLvl w:val="9"/>
        <w:rPr>
          <w:rFonts w:hint="eastAsia" w:ascii="宋体" w:hAnsi="宋体" w:eastAsia="宋体" w:cs="宋体"/>
          <w:sz w:val="52"/>
          <w:szCs w:val="52"/>
        </w:rPr>
      </w:pPr>
      <w:r>
        <w:rPr>
          <w:rFonts w:hint="eastAsia" w:ascii="宋体" w:hAnsi="宋体" w:eastAsia="宋体" w:cs="宋体"/>
          <w:sz w:val="52"/>
          <w:szCs w:val="52"/>
        </w:rPr>
        <w:t>土方平衡</w:t>
      </w:r>
      <w:r>
        <w:rPr>
          <w:rFonts w:hint="eastAsia" w:ascii="宋体" w:hAnsi="宋体" w:eastAsia="宋体" w:cs="宋体"/>
          <w:sz w:val="52"/>
          <w:szCs w:val="52"/>
          <w:lang w:val="en-US" w:eastAsia="zh-CN"/>
        </w:rPr>
        <w:t>专项</w:t>
      </w:r>
      <w:r>
        <w:rPr>
          <w:rFonts w:hint="eastAsia" w:ascii="宋体" w:hAnsi="宋体" w:eastAsia="宋体" w:cs="宋体"/>
          <w:sz w:val="52"/>
          <w:szCs w:val="52"/>
        </w:rPr>
        <w:t>论证报告</w:t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sz w:val="36"/>
          <w:szCs w:val="36"/>
          <w:lang w:eastAsia="zh-CN"/>
        </w:rPr>
        <w:t>（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建筑工程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）</w:t>
      </w:r>
    </w:p>
    <w:p>
      <w:pPr>
        <w:jc w:val="center"/>
        <w:rPr>
          <w:rFonts w:hint="eastAsia" w:ascii="宋体" w:hAnsi="宋体" w:eastAsia="宋体" w:cs="宋体"/>
        </w:rPr>
      </w:pPr>
    </w:p>
    <w:p>
      <w:pPr>
        <w:jc w:val="center"/>
        <w:rPr>
          <w:rFonts w:hint="eastAsia" w:ascii="宋体" w:hAnsi="宋体" w:eastAsia="宋体" w:cs="宋体"/>
        </w:rPr>
      </w:pPr>
    </w:p>
    <w:p>
      <w:pPr>
        <w:jc w:val="center"/>
        <w:rPr>
          <w:rFonts w:hint="eastAsia" w:ascii="宋体" w:hAnsi="宋体" w:eastAsia="宋体" w:cs="宋体"/>
        </w:rPr>
      </w:pPr>
    </w:p>
    <w:p>
      <w:pPr>
        <w:jc w:val="center"/>
        <w:rPr>
          <w:rFonts w:hint="eastAsia" w:ascii="宋体" w:hAnsi="宋体" w:eastAsia="宋体" w:cs="宋体"/>
        </w:rPr>
      </w:pPr>
    </w:p>
    <w:p>
      <w:pPr>
        <w:jc w:val="center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jc w:val="center"/>
        <w:rPr>
          <w:rFonts w:hint="eastAsia" w:ascii="宋体" w:hAnsi="宋体" w:eastAsia="宋体" w:cs="宋体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项目名称：________________________</w: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项目地点：________________________</w: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编制单位：________________________</w: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编制日期：________________________</w:t>
      </w:r>
    </w:p>
    <w:p>
      <w:pPr>
        <w:jc w:val="both"/>
        <w:rPr>
          <w:rFonts w:hint="eastAsia" w:ascii="宋体" w:hAnsi="宋体" w:eastAsia="宋体" w:cs="宋体"/>
          <w:sz w:val="24"/>
        </w:rPr>
      </w:pPr>
    </w:p>
    <w:p>
      <w:pPr>
        <w:jc w:val="both"/>
        <w:rPr>
          <w:rFonts w:hint="eastAsia" w:ascii="宋体" w:hAnsi="宋体" w:eastAsia="宋体" w:cs="宋体"/>
          <w:sz w:val="24"/>
        </w:rPr>
      </w:pPr>
    </w:p>
    <w:p>
      <w:pPr>
        <w:jc w:val="both"/>
        <w:rPr>
          <w:rFonts w:hint="eastAsia" w:ascii="宋体" w:hAnsi="宋体" w:eastAsia="宋体" w:cs="宋体"/>
          <w:sz w:val="24"/>
        </w:rPr>
      </w:pPr>
    </w:p>
    <w:p>
      <w:pPr>
        <w:jc w:val="both"/>
        <w:rPr>
          <w:rFonts w:hint="eastAsia"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Times New Roman"/>
          <w:color w:val="C00000"/>
          <w:kern w:val="0"/>
          <w:sz w:val="24"/>
          <w:szCs w:val="24"/>
          <w:highlight w:val="none"/>
          <w:u w:val="wave"/>
          <w:lang w:val="en-US" w:eastAsia="zh-CN" w:bidi="ar-SA"/>
          <w14:ligatures w14:val="standardContextual"/>
        </w:rPr>
        <w:t>（备注：本模板仅做格式及内容参考，报告编制单位可根据项目实际情况适当</w:t>
      </w:r>
      <w:bookmarkStart w:id="32" w:name="_GoBack"/>
      <w:bookmarkEnd w:id="32"/>
      <w:r>
        <w:rPr>
          <w:rFonts w:hint="eastAsia" w:ascii="宋体" w:hAnsi="宋体" w:eastAsia="宋体" w:cs="Times New Roman"/>
          <w:color w:val="C00000"/>
          <w:kern w:val="0"/>
          <w:sz w:val="24"/>
          <w:szCs w:val="24"/>
          <w:highlight w:val="none"/>
          <w:u w:val="wave"/>
          <w:lang w:val="en-US" w:eastAsia="zh-CN" w:bidi="ar-SA"/>
          <w14:ligatures w14:val="standardContextual"/>
        </w:rPr>
        <w:t>增减内容；报告需满足《浙江省建筑垃圾减量化专项设计指南（试行）》的要求。）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8"/>
          <w:szCs w:val="28"/>
        </w:rPr>
        <w:br w:type="page"/>
      </w:r>
    </w:p>
    <w:sdt>
      <w:sdtPr>
        <w:rPr>
          <w:rFonts w:ascii="宋体" w:hAnsi="宋体" w:eastAsia="宋体" w:cstheme="minorBidi"/>
          <w:kern w:val="2"/>
          <w:sz w:val="21"/>
          <w:szCs w:val="22"/>
          <w:lang w:val="en-US" w:eastAsia="zh-CN" w:bidi="ar-SA"/>
          <w14:ligatures w14:val="standardContextual"/>
        </w:rPr>
        <w:id w:val="147453062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b/>
          <w:kern w:val="2"/>
          <w:sz w:val="21"/>
          <w:szCs w:val="22"/>
          <w:lang w:val="en-US" w:eastAsia="zh-CN" w:bidi="ar-SA"/>
          <w14:ligatures w14:val="standardContextual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"1-2"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_Toc20763 </w:instrText>
          </w:r>
          <w:r>
            <w:fldChar w:fldCharType="separate"/>
          </w:r>
          <w:r>
            <w:rPr>
              <w:rFonts w:hint="eastAsia"/>
              <w:bCs/>
            </w:rPr>
            <w:t xml:space="preserve">一、 </w:t>
          </w:r>
          <w:r>
            <w:rPr>
              <w:rFonts w:hint="eastAsia"/>
              <w:bCs/>
              <w:szCs w:val="28"/>
            </w:rPr>
            <w:t>项目概况</w:t>
          </w:r>
          <w:r>
            <w:tab/>
          </w:r>
          <w:r>
            <w:fldChar w:fldCharType="begin"/>
          </w:r>
          <w:r>
            <w:instrText xml:space="preserve"> PAGEREF _Toc20763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_Toc30338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/>
            </w:rPr>
            <w:t>1.1 项目基本信息</w:t>
          </w:r>
          <w:r>
            <w:tab/>
          </w:r>
          <w:r>
            <w:fldChar w:fldCharType="begin"/>
          </w:r>
          <w:r>
            <w:instrText xml:space="preserve"> PAGEREF _Toc30338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_Toc27195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/>
            </w:rPr>
            <w:t>1.2 场地现状条件</w:t>
          </w:r>
          <w:r>
            <w:tab/>
          </w:r>
          <w:r>
            <w:fldChar w:fldCharType="begin"/>
          </w:r>
          <w:r>
            <w:instrText xml:space="preserve"> PAGEREF _Toc27195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_Toc23730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/>
            </w:rPr>
            <w:t>1.3 设计标高方案</w:t>
          </w:r>
          <w:r>
            <w:tab/>
          </w:r>
          <w:r>
            <w:fldChar w:fldCharType="begin"/>
          </w:r>
          <w:r>
            <w:instrText xml:space="preserve"> PAGEREF _Toc23730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_Toc28698 </w:instrText>
          </w:r>
          <w: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</w:rPr>
            <w:t xml:space="preserve">二、 </w:t>
          </w:r>
          <w:r>
            <w:rPr>
              <w:rFonts w:hint="eastAsia" w:asciiTheme="minorEastAsia" w:hAnsiTheme="minorEastAsia" w:eastAsiaTheme="minorEastAsia" w:cstheme="minorEastAsia"/>
              <w:bCs/>
              <w:szCs w:val="28"/>
            </w:rPr>
            <w:t>土方工程减量化措施分析</w:t>
          </w:r>
          <w:r>
            <w:tab/>
          </w:r>
          <w:r>
            <w:fldChar w:fldCharType="begin"/>
          </w:r>
          <w:r>
            <w:instrText xml:space="preserve"> PAGEREF _Toc28698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_Toc14957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/>
            </w:rPr>
            <w:t xml:space="preserve">2.1 </w:t>
          </w:r>
          <w:r>
            <w:rPr>
              <w:rFonts w:hint="eastAsia" w:ascii="宋体" w:hAnsi="宋体" w:eastAsia="宋体" w:cs="宋体"/>
              <w:bCs/>
              <w:lang w:val="en-US" w:eastAsia="zh-CN"/>
            </w:rPr>
            <w:t>土方相关工程</w:t>
          </w:r>
          <w:r>
            <w:rPr>
              <w:rFonts w:hint="eastAsia" w:ascii="宋体" w:hAnsi="宋体" w:eastAsia="宋体" w:cs="宋体"/>
              <w:bCs/>
            </w:rPr>
            <w:t>方</w:t>
          </w:r>
          <w:r>
            <w:rPr>
              <w:rFonts w:hint="eastAsia" w:ascii="宋体" w:hAnsi="宋体" w:eastAsia="宋体" w:cs="宋体"/>
              <w:bCs/>
              <w:lang w:val="en-US" w:eastAsia="zh-CN"/>
            </w:rPr>
            <w:t>案比选</w:t>
          </w:r>
          <w:r>
            <w:tab/>
          </w:r>
          <w:r>
            <w:fldChar w:fldCharType="begin"/>
          </w:r>
          <w:r>
            <w:instrText xml:space="preserve"> PAGEREF _Toc14957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_Toc16131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/>
            </w:rPr>
            <w:t>2.2 土方平衡减量化策略</w:t>
          </w:r>
          <w:r>
            <w:tab/>
          </w:r>
          <w:r>
            <w:fldChar w:fldCharType="begin"/>
          </w:r>
          <w:r>
            <w:instrText xml:space="preserve"> PAGEREF _Toc16131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_Toc29441 </w:instrText>
          </w:r>
          <w:r>
            <w:fldChar w:fldCharType="separate"/>
          </w:r>
          <w:r>
            <w:rPr>
              <w:rFonts w:hint="eastAsia"/>
              <w:bCs/>
              <w:szCs w:val="28"/>
              <w:lang w:eastAsia="zh-CN"/>
            </w:rPr>
            <w:t xml:space="preserve">三、 </w:t>
          </w:r>
          <w:r>
            <w:rPr>
              <w:rFonts w:hint="eastAsia"/>
              <w:bCs/>
              <w:szCs w:val="28"/>
            </w:rPr>
            <w:t>挖填方量测算表</w:t>
          </w:r>
          <w:r>
            <w:tab/>
          </w:r>
          <w:r>
            <w:fldChar w:fldCharType="begin"/>
          </w:r>
          <w:r>
            <w:instrText xml:space="preserve"> PAGEREF _Toc29441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_Toc3194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/>
            </w:rPr>
            <w:t>3.1 挖方量测算（按土质分类）</w:t>
          </w:r>
          <w:r>
            <w:tab/>
          </w:r>
          <w:r>
            <w:fldChar w:fldCharType="begin"/>
          </w:r>
          <w:r>
            <w:instrText xml:space="preserve"> PAGEREF _Toc3194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_Toc28580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/>
            </w:rPr>
            <w:t>3.2 填方量测算（按用途分类）</w:t>
          </w:r>
          <w:r>
            <w:tab/>
          </w:r>
          <w:r>
            <w:fldChar w:fldCharType="begin"/>
          </w:r>
          <w:r>
            <w:instrText xml:space="preserve"> PAGEREF _Toc28580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_Toc1940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/>
              <w:i w:val="0"/>
              <w:kern w:val="0"/>
              <w:szCs w:val="24"/>
              <w:lang w:val="en-US" w:eastAsia="zh-CN" w:bidi="ar"/>
            </w:rPr>
            <w:t>3.3 可利用土体场内利用</w:t>
          </w:r>
          <w:r>
            <w:tab/>
          </w:r>
          <w:r>
            <w:fldChar w:fldCharType="begin"/>
          </w:r>
          <w:r>
            <w:instrText xml:space="preserve"> PAGEREF _Toc1940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_Toc19182 </w:instrText>
          </w:r>
          <w:r>
            <w:fldChar w:fldCharType="separate"/>
          </w:r>
          <w:r>
            <w:rPr>
              <w:rFonts w:hint="eastAsia"/>
              <w:bCs/>
            </w:rPr>
            <w:t xml:space="preserve">四、 </w:t>
          </w:r>
          <w:r>
            <w:rPr>
              <w:rFonts w:hint="eastAsia"/>
              <w:bCs/>
              <w:szCs w:val="28"/>
            </w:rPr>
            <w:t>土方平衡计算</w:t>
          </w:r>
          <w:r>
            <w:tab/>
          </w:r>
          <w:r>
            <w:fldChar w:fldCharType="begin"/>
          </w:r>
          <w:r>
            <w:instrText xml:space="preserve"> PAGEREF _Toc19182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_Toc12565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/>
            </w:rPr>
            <w:t>4.1</w:t>
          </w:r>
          <w:r>
            <w:rPr>
              <w:rFonts w:hint="eastAsia" w:ascii="宋体" w:hAnsi="宋体" w:eastAsia="宋体" w:cs="宋体"/>
              <w:bCs/>
              <w:szCs w:val="24"/>
            </w:rPr>
            <w:t>土方平衡汇总表</w:t>
          </w:r>
          <w:r>
            <w:tab/>
          </w:r>
          <w:r>
            <w:fldChar w:fldCharType="begin"/>
          </w:r>
          <w:r>
            <w:instrText xml:space="preserve"> PAGEREF _Toc12565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_Toc14573 </w:instrText>
          </w:r>
          <w:r>
            <w:fldChar w:fldCharType="separate"/>
          </w:r>
          <w:r>
            <w:rPr>
              <w:rFonts w:hint="eastAsia"/>
              <w:bCs/>
              <w:szCs w:val="28"/>
            </w:rPr>
            <w:t>五、 建筑垃圾预估量及处置路径</w:t>
          </w:r>
          <w:r>
            <w:tab/>
          </w:r>
          <w:r>
            <w:fldChar w:fldCharType="begin"/>
          </w:r>
          <w:r>
            <w:instrText xml:space="preserve"> PAGEREF _Toc14573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_Toc20906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/>
            </w:rPr>
            <w:t>5.1 建筑垃圾产生量预估</w:t>
          </w:r>
          <w:r>
            <w:tab/>
          </w:r>
          <w:r>
            <w:fldChar w:fldCharType="begin"/>
          </w:r>
          <w:r>
            <w:instrText xml:space="preserve"> PAGEREF _Toc20906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_Toc6417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bCs/>
            </w:rPr>
            <w:t>5.2 建筑垃圾处置路径说明</w:t>
          </w:r>
          <w:r>
            <w:tab/>
          </w:r>
          <w:r>
            <w:fldChar w:fldCharType="begin"/>
          </w:r>
          <w:r>
            <w:instrText xml:space="preserve"> PAGEREF _Toc6417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_Toc26289 </w:instrText>
          </w:r>
          <w: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  <w:szCs w:val="28"/>
              <w:lang w:val="en-US" w:eastAsia="zh-CN"/>
            </w:rPr>
            <w:t>六、 土方平衡评价</w:t>
          </w:r>
          <w:r>
            <w:tab/>
          </w:r>
          <w:r>
            <w:fldChar w:fldCharType="begin"/>
          </w:r>
          <w:r>
            <w:instrText xml:space="preserve"> PAGEREF _Toc26289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_Toc18500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  <w:bCs/>
              <w:szCs w:val="28"/>
              <w:lang w:val="en-US" w:eastAsia="zh-CN"/>
            </w:rPr>
            <w:t>6.1</w:t>
          </w:r>
          <w:r>
            <w:rPr>
              <w:rFonts w:hint="eastAsia" w:ascii="Times New Roman" w:hAnsi="Times New Roman" w:eastAsia="宋体"/>
              <w:bCs/>
              <w:szCs w:val="28"/>
            </w:rPr>
            <w:t>对项目平面布置的总体评价</w:t>
          </w:r>
          <w:r>
            <w:tab/>
          </w:r>
          <w:r>
            <w:fldChar w:fldCharType="begin"/>
          </w:r>
          <w:r>
            <w:instrText xml:space="preserve"> PAGEREF _Toc18500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_Toc25189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  <w:bCs/>
              <w:szCs w:val="28"/>
              <w:lang w:val="en-US" w:eastAsia="zh-CN"/>
            </w:rPr>
            <w:t>6.2</w:t>
          </w:r>
          <w:r>
            <w:rPr>
              <w:rFonts w:hint="eastAsia" w:ascii="Times New Roman" w:hAnsi="Times New Roman" w:eastAsia="宋体"/>
              <w:bCs/>
              <w:szCs w:val="28"/>
            </w:rPr>
            <w:t>对项目竖向布置的总体评价</w:t>
          </w:r>
          <w:r>
            <w:tab/>
          </w:r>
          <w:r>
            <w:fldChar w:fldCharType="begin"/>
          </w:r>
          <w:r>
            <w:instrText xml:space="preserve"> PAGEREF _Toc25189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_Toc15587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  <w:bCs/>
              <w:szCs w:val="28"/>
              <w:lang w:val="en-US" w:eastAsia="zh-CN"/>
            </w:rPr>
            <w:t>6.3</w:t>
          </w:r>
          <w:r>
            <w:rPr>
              <w:rFonts w:hint="eastAsia" w:ascii="Times New Roman" w:hAnsi="Times New Roman" w:eastAsia="宋体" w:cs="Times New Roman"/>
              <w:bCs/>
              <w:szCs w:val="28"/>
              <w:lang w:val="en-US" w:eastAsia="zh-CN"/>
            </w:rPr>
            <w:t>基础</w:t>
          </w:r>
          <w:r>
            <w:rPr>
              <w:rFonts w:hint="eastAsia" w:ascii="Times New Roman" w:hAnsi="Times New Roman" w:eastAsia="宋体"/>
              <w:bCs/>
              <w:szCs w:val="28"/>
              <w:lang w:val="en-US" w:eastAsia="zh-CN"/>
            </w:rPr>
            <w:t>设计方案、</w:t>
          </w:r>
          <w:r>
            <w:rPr>
              <w:rFonts w:hint="eastAsia" w:ascii="Times New Roman" w:hAnsi="Times New Roman" w:eastAsia="宋体"/>
              <w:bCs/>
              <w:szCs w:val="28"/>
            </w:rPr>
            <w:t>土方平衡计算复核总结</w:t>
          </w:r>
          <w:r>
            <w:tab/>
          </w:r>
          <w:r>
            <w:fldChar w:fldCharType="begin"/>
          </w:r>
          <w:r>
            <w:instrText xml:space="preserve"> PAGEREF _Toc15587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_Toc17015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  <w:bCs/>
              <w:szCs w:val="28"/>
              <w:lang w:val="en-US" w:eastAsia="zh-CN"/>
            </w:rPr>
            <w:t>6.4场内</w:t>
          </w:r>
          <w:r>
            <w:rPr>
              <w:rFonts w:hint="eastAsia" w:ascii="Times New Roman" w:hAnsi="Times New Roman" w:eastAsia="宋体"/>
              <w:bCs/>
              <w:szCs w:val="28"/>
            </w:rPr>
            <w:t>资源化利用合理性</w:t>
          </w:r>
          <w:r>
            <w:rPr>
              <w:rFonts w:hint="eastAsia" w:ascii="Times New Roman" w:hAnsi="Times New Roman" w:eastAsia="宋体"/>
              <w:bCs/>
              <w:szCs w:val="28"/>
              <w:lang w:val="en-US" w:eastAsia="zh-CN"/>
            </w:rPr>
            <w:t>评价</w:t>
          </w:r>
          <w:r>
            <w:tab/>
          </w:r>
          <w:r>
            <w:fldChar w:fldCharType="begin"/>
          </w:r>
          <w:r>
            <w:instrText xml:space="preserve"> PAGEREF _Toc17015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_Toc894 </w:instrText>
          </w:r>
          <w:r>
            <w:fldChar w:fldCharType="separate"/>
          </w:r>
          <w:r>
            <w:rPr>
              <w:rFonts w:hint="eastAsia" w:ascii="Times New Roman" w:hAnsi="Times New Roman" w:eastAsia="宋体"/>
              <w:bCs/>
              <w:szCs w:val="28"/>
              <w:lang w:val="en-US" w:eastAsia="zh-CN"/>
            </w:rPr>
            <w:t>6.5</w:t>
          </w:r>
          <w:r>
            <w:rPr>
              <w:rFonts w:hint="eastAsia" w:ascii="Times New Roman" w:hAnsi="Times New Roman" w:eastAsia="宋体"/>
              <w:bCs/>
              <w:szCs w:val="28"/>
            </w:rPr>
            <w:t>外运土方</w:t>
          </w:r>
          <w:r>
            <w:rPr>
              <w:rFonts w:hint="eastAsia" w:ascii="Times New Roman" w:hAnsi="Times New Roman" w:eastAsia="宋体"/>
              <w:bCs/>
              <w:szCs w:val="28"/>
              <w:lang w:val="en-US" w:eastAsia="zh-CN"/>
            </w:rPr>
            <w:t>处置方案合理性评价</w:t>
          </w:r>
          <w:r>
            <w:tab/>
          </w:r>
          <w:r>
            <w:fldChar w:fldCharType="begin"/>
          </w:r>
          <w:r>
            <w:instrText xml:space="preserve"> PAGEREF _Toc894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_Toc22613 </w:instrText>
          </w:r>
          <w: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  <w:szCs w:val="28"/>
              <w:lang w:val="en-US" w:eastAsia="zh-CN"/>
            </w:rPr>
            <w:t>七、 结论与建议</w:t>
          </w:r>
          <w:r>
            <w:tab/>
          </w:r>
          <w:r>
            <w:fldChar w:fldCharType="begin"/>
          </w:r>
          <w:r>
            <w:instrText xml:space="preserve"> PAGEREF _Toc22613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_Toc10879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lang w:val="en-US" w:eastAsia="zh-CN"/>
            </w:rPr>
            <w:t>7</w:t>
          </w:r>
          <w:r>
            <w:rPr>
              <w:rFonts w:hint="eastAsia" w:ascii="宋体" w:hAnsi="宋体" w:eastAsia="宋体" w:cs="宋体"/>
            </w:rPr>
            <w:t>.1 土方平衡结论</w:t>
          </w:r>
          <w:r>
            <w:tab/>
          </w:r>
          <w:r>
            <w:fldChar w:fldCharType="begin"/>
          </w:r>
          <w:r>
            <w:instrText xml:space="preserve"> PAGEREF _Toc10879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_Toc14503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lang w:val="en-US" w:eastAsia="zh-CN"/>
            </w:rPr>
            <w:t>7</w:t>
          </w:r>
          <w:r>
            <w:rPr>
              <w:rFonts w:hint="eastAsia" w:ascii="宋体" w:hAnsi="宋体" w:eastAsia="宋体" w:cs="宋体"/>
            </w:rPr>
            <w:t>.2 建筑垃圾减量化结论</w:t>
          </w:r>
          <w:r>
            <w:tab/>
          </w:r>
          <w:r>
            <w:fldChar w:fldCharType="begin"/>
          </w:r>
          <w:r>
            <w:instrText xml:space="preserve"> PAGEREF _Toc14503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_Toc23596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lang w:val="en-US" w:eastAsia="zh-CN"/>
            </w:rPr>
            <w:t>7</w:t>
          </w:r>
          <w:r>
            <w:rPr>
              <w:rFonts w:hint="eastAsia" w:ascii="宋体" w:hAnsi="宋体" w:eastAsia="宋体" w:cs="宋体"/>
            </w:rPr>
            <w:t>.2减量化措施建议</w:t>
          </w:r>
          <w:r>
            <w:tab/>
          </w:r>
          <w:r>
            <w:fldChar w:fldCharType="begin"/>
          </w:r>
          <w:r>
            <w:instrText xml:space="preserve"> PAGEREF _Toc23596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_Toc13267 </w:instrText>
          </w:r>
          <w:r>
            <w:fldChar w:fldCharType="separate"/>
          </w:r>
          <w:r>
            <w:rPr>
              <w:rFonts w:hint="eastAsia"/>
              <w:bCs/>
              <w:szCs w:val="28"/>
            </w:rPr>
            <w:t>八、 附件</w:t>
          </w:r>
          <w:r>
            <w:tab/>
          </w:r>
          <w:r>
            <w:fldChar w:fldCharType="begin"/>
          </w:r>
          <w:r>
            <w:instrText xml:space="preserve"> PAGEREF _Toc13267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br w:type="page"/>
      </w:r>
    </w:p>
    <w:p>
      <w:pPr>
        <w:numPr>
          <w:ilvl w:val="0"/>
          <w:numId w:val="1"/>
        </w:numPr>
        <w:spacing w:line="360" w:lineRule="auto"/>
        <w:jc w:val="center"/>
        <w:outlineLvl w:val="0"/>
        <w:rPr>
          <w:rFonts w:hint="eastAsia"/>
          <w:b/>
          <w:bCs/>
          <w:sz w:val="24"/>
        </w:rPr>
      </w:pPr>
      <w:bookmarkStart w:id="0" w:name="_Toc20763"/>
      <w:r>
        <w:rPr>
          <w:rFonts w:hint="eastAsia"/>
          <w:b/>
          <w:bCs/>
          <w:sz w:val="28"/>
          <w:szCs w:val="28"/>
        </w:rPr>
        <w:t>项目概况</w:t>
      </w:r>
      <w:bookmarkEnd w:id="0"/>
    </w:p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1" w:name="_Toc30338"/>
      <w:r>
        <w:rPr>
          <w:rFonts w:hint="eastAsia" w:ascii="宋体" w:hAnsi="宋体" w:eastAsia="宋体" w:cs="宋体"/>
          <w:b/>
          <w:bCs/>
          <w:sz w:val="24"/>
        </w:rPr>
        <w:t>1.1 项目基本信息</w:t>
      </w:r>
      <w:bookmarkEnd w:id="1"/>
    </w:p>
    <w:p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表格1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项目基本信息表</w:t>
      </w:r>
    </w:p>
    <w:tbl>
      <w:tblPr>
        <w:tblStyle w:val="5"/>
        <w:tblW w:w="831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3"/>
        <w:gridCol w:w="5400"/>
      </w:tblGrid>
      <w:tr>
        <w:trPr>
          <w:trHeight w:val="270" w:hRule="atLeast"/>
        </w:trPr>
        <w:tc>
          <w:tcPr>
            <w:tcW w:w="2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项目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建设单位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设计单位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用地面积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总建筑面积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地下建筑面积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建筑占地面积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容积率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建筑密度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绿地率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2" w:name="_Toc27195"/>
      <w:r>
        <w:rPr>
          <w:rFonts w:hint="eastAsia" w:ascii="宋体" w:hAnsi="宋体" w:eastAsia="宋体" w:cs="宋体"/>
          <w:b/>
          <w:bCs/>
          <w:sz w:val="24"/>
        </w:rPr>
        <w:t>1.2 场地现状条件</w:t>
      </w:r>
      <w:bookmarkEnd w:id="2"/>
    </w:p>
    <w:p>
      <w:p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原始地形地貌：________________________</w:t>
      </w:r>
    </w:p>
    <w:p>
      <w:p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场地标高范围：______m ~ ______m</w:t>
      </w:r>
    </w:p>
    <w:p>
      <w:p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场地坡度特征：________________________</w:t>
      </w:r>
    </w:p>
    <w:p>
      <w:p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现有建（构）筑物情况：________________________</w:t>
      </w:r>
    </w:p>
    <w:p>
      <w:p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周边市政道路标高：________________________</w:t>
      </w:r>
    </w:p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3" w:name="_Toc23730"/>
      <w:r>
        <w:rPr>
          <w:rFonts w:hint="eastAsia" w:ascii="宋体" w:hAnsi="宋体" w:eastAsia="宋体" w:cs="宋体"/>
          <w:b/>
          <w:bCs/>
          <w:sz w:val="24"/>
        </w:rPr>
        <w:t>1.3 设计标高方案</w:t>
      </w:r>
      <w:bookmarkEnd w:id="3"/>
    </w:p>
    <w:p>
      <w:pPr>
        <w:spacing w:line="360" w:lineRule="auto"/>
        <w:jc w:val="center"/>
        <w:outlineLvl w:val="9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表格2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设计标高方案表</w:t>
      </w:r>
    </w:p>
    <w:tbl>
      <w:tblPr>
        <w:tblStyle w:val="5"/>
        <w:tblW w:w="830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03"/>
        <w:gridCol w:w="2380"/>
        <w:gridCol w:w="30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项目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设计标高（m）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场地设计标高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建筑室内±0.000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地下室底板标高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周边道路衔接标高</w:t>
            </w:r>
          </w:p>
        </w:tc>
        <w:tc>
          <w:tcPr>
            <w:tcW w:w="2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br w:type="page"/>
      </w:r>
    </w:p>
    <w:p>
      <w:pPr>
        <w:numPr>
          <w:ilvl w:val="0"/>
          <w:numId w:val="1"/>
        </w:numPr>
        <w:spacing w:line="360" w:lineRule="auto"/>
        <w:jc w:val="center"/>
        <w:outlineLvl w:val="0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bookmarkStart w:id="4" w:name="_Toc28698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土方工程减量化措施分析</w:t>
      </w:r>
      <w:bookmarkEnd w:id="4"/>
    </w:p>
    <w:p>
      <w:pPr>
        <w:pStyle w:val="2"/>
        <w:outlineLvl w:val="1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bookmarkStart w:id="5" w:name="_Toc14957"/>
      <w:r>
        <w:rPr>
          <w:rFonts w:hint="eastAsia" w:ascii="宋体" w:hAnsi="宋体" w:eastAsia="宋体" w:cs="宋体"/>
          <w:b/>
          <w:bCs/>
          <w:sz w:val="24"/>
        </w:rPr>
        <w:t xml:space="preserve">2.1 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土方相关工程</w:t>
      </w:r>
      <w:r>
        <w:rPr>
          <w:rFonts w:hint="eastAsia" w:ascii="宋体" w:hAnsi="宋体" w:eastAsia="宋体" w:cs="宋体"/>
          <w:b/>
          <w:bCs/>
          <w:sz w:val="24"/>
        </w:rPr>
        <w:t>方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案比选</w:t>
      </w:r>
      <w:bookmarkEnd w:id="5"/>
    </w:p>
    <w:p>
      <w:pPr>
        <w:pStyle w:val="2"/>
        <w:ind w:firstLine="240" w:firstLineChars="100"/>
        <w:rPr>
          <w:rFonts w:hint="eastAsia" w:ascii="宋体" w:hAnsi="宋体" w:eastAsia="宋体" w:cs="宋体"/>
          <w:color w:val="C00000"/>
          <w:sz w:val="24"/>
          <w:u w:val="wave"/>
        </w:rPr>
      </w:pPr>
      <w:r>
        <w:rPr>
          <w:rFonts w:hint="eastAsia" w:ascii="宋体" w:hAnsi="宋体" w:eastAsia="宋体" w:cs="宋体"/>
          <w:color w:val="C00000"/>
          <w:sz w:val="24"/>
          <w:u w:val="wave"/>
          <w:lang w:val="en-US" w:eastAsia="zh-CN"/>
        </w:rPr>
        <w:t>（根据指南第3.3.1条、3.3.2条要求，对以下方案进行比选：）</w:t>
      </w:r>
    </w:p>
    <w:p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表格3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土方相关工程方案比选</w:t>
      </w:r>
    </w:p>
    <w:tbl>
      <w:tblPr>
        <w:tblStyle w:val="5"/>
        <w:tblW w:w="8256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6"/>
        <w:gridCol w:w="1376"/>
        <w:gridCol w:w="1376"/>
        <w:gridCol w:w="1376"/>
        <w:gridCol w:w="1376"/>
        <w:gridCol w:w="137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方案名称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方案描述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挖方量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（m³）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填方量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（m³）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外运量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（m³）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外购量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（m³）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方案一：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方案二：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推荐方案：__________________ ，理由：__________________</w:t>
      </w:r>
    </w:p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6" w:name="_Toc16131"/>
      <w:r>
        <w:rPr>
          <w:rFonts w:hint="eastAsia" w:ascii="宋体" w:hAnsi="宋体" w:eastAsia="宋体" w:cs="宋体"/>
          <w:b/>
          <w:bCs/>
          <w:sz w:val="24"/>
        </w:rPr>
        <w:t>2.2 土方平衡减量化策略</w:t>
      </w:r>
      <w:bookmarkEnd w:id="6"/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color w:val="C00000"/>
          <w:sz w:val="24"/>
          <w:u w:val="wave"/>
        </w:rPr>
      </w:pPr>
      <w:r>
        <w:rPr>
          <w:rFonts w:hint="eastAsia" w:ascii="宋体" w:hAnsi="宋体" w:eastAsia="宋体" w:cs="宋体"/>
          <w:color w:val="C00000"/>
          <w:sz w:val="24"/>
          <w:u w:val="wave"/>
        </w:rPr>
        <w:t>（依据指南第3.3.4条、3.3.5条）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1、__________________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2、__________________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3、__________________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br w:type="page"/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center"/>
        <w:outlineLvl w:val="0"/>
        <w:rPr>
          <w:rFonts w:hint="eastAsia"/>
          <w:b/>
          <w:bCs/>
          <w:sz w:val="28"/>
          <w:szCs w:val="28"/>
          <w:lang w:eastAsia="zh-CN"/>
        </w:rPr>
      </w:pPr>
      <w:bookmarkStart w:id="7" w:name="_Toc29441"/>
      <w:r>
        <w:rPr>
          <w:rFonts w:hint="eastAsia"/>
          <w:b/>
          <w:bCs/>
          <w:sz w:val="28"/>
          <w:szCs w:val="28"/>
        </w:rPr>
        <w:t>挖填方量测算表</w:t>
      </w:r>
      <w:bookmarkEnd w:id="7"/>
    </w:p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8" w:name="_Toc3194"/>
      <w:r>
        <w:rPr>
          <w:rFonts w:hint="eastAsia" w:ascii="宋体" w:hAnsi="宋体" w:eastAsia="宋体" w:cs="宋体"/>
          <w:b/>
          <w:bCs/>
          <w:sz w:val="24"/>
        </w:rPr>
        <w:t>3.1 挖方量测算（按土质分类）</w:t>
      </w:r>
      <w:bookmarkEnd w:id="8"/>
    </w:p>
    <w:p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表格4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挖方量测算表</w:t>
      </w:r>
    </w:p>
    <w:tbl>
      <w:tblPr>
        <w:tblStyle w:val="5"/>
        <w:tblW w:w="835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0"/>
        <w:gridCol w:w="1632"/>
        <w:gridCol w:w="968"/>
        <w:gridCol w:w="952"/>
        <w:gridCol w:w="985"/>
        <w:gridCol w:w="1217"/>
        <w:gridCol w:w="952"/>
        <w:gridCol w:w="109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挖方区域/部位</w:t>
            </w:r>
          </w:p>
        </w:tc>
        <w:tc>
          <w:tcPr>
            <w:tcW w:w="29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渣土</w:t>
            </w:r>
          </w:p>
        </w:tc>
        <w:tc>
          <w:tcPr>
            <w:tcW w:w="12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淤泥/泥浆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（m³/t）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（m³/t）</w:t>
            </w:r>
          </w:p>
        </w:tc>
        <w:tc>
          <w:tcPr>
            <w:tcW w:w="10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（m³/t）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深层土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（m³/t）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（m³/t）</w:t>
            </w:r>
          </w:p>
        </w:tc>
        <w:tc>
          <w:tcPr>
            <w:tcW w:w="12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场地平整挖方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基坑/基槽挖方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管线沟槽挖方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挖方合计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83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说明:1、土方量应同时提供体积（m³）和质量（t）。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9" w:name="_Toc28580"/>
      <w:r>
        <w:rPr>
          <w:rFonts w:hint="eastAsia" w:ascii="宋体" w:hAnsi="宋体" w:eastAsia="宋体" w:cs="宋体"/>
          <w:b/>
          <w:bCs/>
          <w:sz w:val="24"/>
        </w:rPr>
        <w:t>3.2 填方量测算（按用途分类）</w:t>
      </w:r>
      <w:bookmarkEnd w:id="9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表格5 填方量测算表</w:t>
      </w:r>
    </w:p>
    <w:tbl>
      <w:tblPr>
        <w:tblStyle w:val="5"/>
        <w:tblW w:w="835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2"/>
        <w:gridCol w:w="1734"/>
        <w:gridCol w:w="1037"/>
        <w:gridCol w:w="1070"/>
        <w:gridCol w:w="1055"/>
        <w:gridCol w:w="1295"/>
        <w:gridCol w:w="943"/>
        <w:gridCol w:w="67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5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7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填方区域/部位</w:t>
            </w:r>
          </w:p>
        </w:tc>
        <w:tc>
          <w:tcPr>
            <w:tcW w:w="31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渣土</w:t>
            </w: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改良土/泥浆/种植土/（m³/t）</w:t>
            </w:r>
          </w:p>
        </w:tc>
        <w:tc>
          <w:tcPr>
            <w:tcW w:w="94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小计</w:t>
            </w:r>
          </w:p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（m³/t）</w:t>
            </w:r>
          </w:p>
        </w:tc>
        <w:tc>
          <w:tcPr>
            <w:tcW w:w="67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5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7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表土回填（m³/t）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深层土回填（m³/t）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石方回填</w:t>
            </w: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（m³/t）</w:t>
            </w:r>
          </w:p>
        </w:tc>
        <w:tc>
          <w:tcPr>
            <w:tcW w:w="12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7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场地平整填方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基坑/基槽回填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地下室顶板回填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管线沟槽回填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绿化种植土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其他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2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填方合计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br w:type="page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outlineLvl w:val="1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10" w:name="_Toc1940"/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3.3 可利用土体场内利用</w:t>
      </w:r>
      <w:bookmarkEnd w:id="1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outlineLvl w:val="9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表格6 土体场内利用表</w:t>
      </w:r>
    </w:p>
    <w:tbl>
      <w:tblPr>
        <w:tblStyle w:val="5"/>
        <w:tblW w:w="8095" w:type="dxa"/>
        <w:tblInd w:w="-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1724"/>
        <w:gridCol w:w="3263"/>
        <w:gridCol w:w="21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土体类型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拟利用方式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预估利用量（m³/t）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98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工程渣土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优质表土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绿化种植土/景观造坡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9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深层优质原状土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场地回填/路基填筑/景观造坡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98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风化岩/石方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碎石垫层/场地硬化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2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泥浆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固化处理后回填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spacing w:line="360" w:lineRule="auto"/>
        <w:rPr>
          <w:rFonts w:hint="eastAsia"/>
          <w:sz w:val="24"/>
        </w:rPr>
      </w:pPr>
    </w:p>
    <w:p>
      <w:pPr>
        <w:numPr>
          <w:ilvl w:val="0"/>
          <w:numId w:val="1"/>
        </w:numPr>
        <w:spacing w:line="360" w:lineRule="auto"/>
        <w:jc w:val="center"/>
        <w:outlineLvl w:val="0"/>
        <w:rPr>
          <w:rFonts w:hint="eastAsia"/>
          <w:b/>
          <w:bCs/>
          <w:sz w:val="24"/>
        </w:rPr>
      </w:pPr>
      <w:bookmarkStart w:id="11" w:name="_Toc19182"/>
      <w:r>
        <w:rPr>
          <w:rFonts w:hint="eastAsia"/>
          <w:b/>
          <w:bCs/>
          <w:sz w:val="28"/>
          <w:szCs w:val="28"/>
        </w:rPr>
        <w:t>土方平衡计算</w:t>
      </w:r>
      <w:bookmarkEnd w:id="11"/>
    </w:p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12" w:name="_Toc12565"/>
      <w:r>
        <w:rPr>
          <w:rFonts w:hint="eastAsia" w:ascii="宋体" w:hAnsi="宋体" w:eastAsia="宋体" w:cs="宋体"/>
          <w:b/>
          <w:bCs/>
          <w:sz w:val="24"/>
        </w:rPr>
        <w:t>4.1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土方平衡汇总表</w:t>
      </w:r>
      <w:bookmarkEnd w:id="12"/>
    </w:p>
    <w:p>
      <w:pPr>
        <w:spacing w:line="360" w:lineRule="auto"/>
        <w:jc w:val="center"/>
        <w:outlineLvl w:val="9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表格7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土方平衡汇总表</w:t>
      </w:r>
    </w:p>
    <w:tbl>
      <w:tblPr>
        <w:tblStyle w:val="5"/>
        <w:tblW w:w="8304" w:type="dxa"/>
        <w:tblInd w:w="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7"/>
        <w:gridCol w:w="2044"/>
        <w:gridCol w:w="1037"/>
        <w:gridCol w:w="32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4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数值</w:t>
            </w: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9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总挖方量（m³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/t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（A）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场内利用量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（A1）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等于B1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9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需外运处置量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（A2）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含表土、深层土、石方等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9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总填方量（m³/t）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（B）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场内利用量（B1）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实际场内消化利用量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9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外运进量（B2）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挖填差（A-B）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正值为余土，负值为缺土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自平衡率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=（场内利用量/总挖方量)*100%</w:t>
            </w:r>
          </w:p>
        </w:tc>
      </w:tr>
    </w:tbl>
    <w:p>
      <w:pPr>
        <w:spacing w:line="360" w:lineRule="auto"/>
        <w:rPr>
          <w:sz w:val="24"/>
        </w:rPr>
      </w:pPr>
    </w:p>
    <w:p>
      <w:pPr>
        <w:rPr>
          <w:rFonts w:hint="eastAsia"/>
          <w:sz w:val="24"/>
        </w:rPr>
      </w:pPr>
      <w:r>
        <w:rPr>
          <w:sz w:val="24"/>
        </w:rPr>
        <w:br w:type="page"/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center"/>
        <w:outlineLvl w:val="0"/>
        <w:rPr>
          <w:rFonts w:hint="eastAsia"/>
          <w:b/>
          <w:bCs/>
          <w:sz w:val="28"/>
          <w:szCs w:val="28"/>
        </w:rPr>
      </w:pPr>
      <w:bookmarkStart w:id="13" w:name="_Toc14573"/>
      <w:r>
        <w:rPr>
          <w:rFonts w:hint="eastAsia"/>
          <w:b/>
          <w:bCs/>
          <w:sz w:val="28"/>
          <w:szCs w:val="28"/>
        </w:rPr>
        <w:t>建筑垃圾预估量及处置路径</w:t>
      </w:r>
      <w:bookmarkEnd w:id="13"/>
    </w:p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14" w:name="_Toc20906"/>
      <w:r>
        <w:rPr>
          <w:rFonts w:hint="eastAsia" w:ascii="宋体" w:hAnsi="宋体" w:eastAsia="宋体" w:cs="宋体"/>
          <w:b/>
          <w:bCs/>
          <w:sz w:val="24"/>
        </w:rPr>
        <w:t>5.1 建筑垃圾产生量预估</w:t>
      </w:r>
      <w:bookmarkEnd w:id="14"/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color w:val="C00000"/>
          <w:sz w:val="24"/>
          <w:u w:val="wave"/>
        </w:rPr>
      </w:pPr>
      <w:r>
        <w:rPr>
          <w:rFonts w:hint="eastAsia" w:ascii="宋体" w:hAnsi="宋体" w:eastAsia="宋体" w:cs="宋体"/>
          <w:color w:val="C00000"/>
          <w:sz w:val="24"/>
          <w:u w:val="wave"/>
        </w:rPr>
        <w:t>（依据指南第2.0.1条、第3.3.3条）</w:t>
      </w:r>
    </w:p>
    <w:p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表格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8 建筑垃圾产生量预估表</w:t>
      </w:r>
    </w:p>
    <w:tbl>
      <w:tblPr>
        <w:tblStyle w:val="5"/>
        <w:tblW w:w="833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6"/>
        <w:gridCol w:w="1380"/>
        <w:gridCol w:w="3463"/>
        <w:gridCol w:w="19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建筑垃圾类别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预估产生量</w:t>
            </w: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（m³/t）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产生环节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主要成分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工程渣土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场地平整、基坑开挖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等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土壤、风化岩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工程泥浆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盾构、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桩基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地下连续墙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施工等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黏土、水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拆除垃圾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既有设施拆除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临时设施拆除等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混凝土、砖石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其他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15" w:name="_Toc6417"/>
      <w:r>
        <w:rPr>
          <w:rFonts w:hint="eastAsia" w:ascii="宋体" w:hAnsi="宋体" w:eastAsia="宋体" w:cs="宋体"/>
          <w:b/>
          <w:bCs/>
          <w:sz w:val="24"/>
        </w:rPr>
        <w:t>5.2 建筑垃圾处置路径说明</w:t>
      </w:r>
      <w:bookmarkEnd w:id="15"/>
    </w:p>
    <w:p>
      <w:pPr>
        <w:spacing w:line="360" w:lineRule="auto"/>
        <w:jc w:val="center"/>
        <w:outlineLvl w:val="9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表格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9 建筑垃圾处置路径表</w:t>
      </w:r>
    </w:p>
    <w:tbl>
      <w:tblPr>
        <w:tblStyle w:val="5"/>
        <w:tblW w:w="833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8"/>
        <w:gridCol w:w="2212"/>
        <w:gridCol w:w="921"/>
        <w:gridCol w:w="1033"/>
        <w:gridCol w:w="1033"/>
        <w:gridCol w:w="15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垃圾类别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处置方式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处置量</w:t>
            </w: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（m³/t）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处置去向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运输距离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符合性说明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工程渣土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场内回填利用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本场地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符合3.3.4条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外运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处置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km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符合2.0.12条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工程泥浆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现场固化处理后回填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本场地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符合5.2.7条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外运处置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km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石方/混凝土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现场破碎再生利用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本场地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符合8.3.2条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外运处置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km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其他建筑垃圾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分类回收/外运处置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km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center"/>
        <w:outlineLvl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bookmarkStart w:id="16" w:name="_Toc26289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土方平衡评价</w:t>
      </w:r>
      <w:bookmarkEnd w:id="16"/>
    </w:p>
    <w:p>
      <w:pPr>
        <w:pStyle w:val="8"/>
        <w:spacing w:line="360" w:lineRule="auto"/>
        <w:ind w:left="0" w:leftChars="0" w:firstLine="0" w:firstLineChars="0"/>
        <w:outlineLvl w:val="1"/>
        <w:rPr>
          <w:rFonts w:ascii="Times New Roman" w:hAnsi="Times New Roman" w:eastAsia="宋体"/>
          <w:b/>
          <w:bCs/>
          <w:sz w:val="24"/>
          <w:szCs w:val="28"/>
        </w:rPr>
      </w:pPr>
      <w:bookmarkStart w:id="17" w:name="_Toc10060"/>
      <w:bookmarkStart w:id="18" w:name="_Toc18500"/>
      <w:r>
        <w:rPr>
          <w:rFonts w:hint="eastAsia" w:ascii="Times New Roman" w:hAnsi="Times New Roman" w:eastAsia="宋体"/>
          <w:b/>
          <w:bCs/>
          <w:sz w:val="24"/>
          <w:szCs w:val="28"/>
          <w:lang w:val="en-US" w:eastAsia="zh-CN"/>
        </w:rPr>
        <w:t>6.1</w:t>
      </w:r>
      <w:r>
        <w:rPr>
          <w:rFonts w:hint="eastAsia" w:ascii="Times New Roman" w:hAnsi="Times New Roman" w:eastAsia="宋体"/>
          <w:b/>
          <w:bCs/>
          <w:sz w:val="24"/>
          <w:szCs w:val="28"/>
        </w:rPr>
        <w:t>对项目平面布置的总体评价</w:t>
      </w:r>
      <w:bookmarkEnd w:id="17"/>
      <w:bookmarkEnd w:id="18"/>
    </w:p>
    <w:p>
      <w:pPr>
        <w:pStyle w:val="8"/>
        <w:spacing w:line="360" w:lineRule="auto"/>
        <w:ind w:firstLine="480"/>
        <w:rPr>
          <w:rFonts w:ascii="Times New Roman" w:hAnsi="Times New Roman" w:eastAsia="宋体"/>
          <w:sz w:val="24"/>
          <w:szCs w:val="28"/>
        </w:rPr>
      </w:pPr>
      <w:r>
        <w:rPr>
          <w:rFonts w:hint="eastAsia" w:ascii="Times New Roman" w:hAnsi="Times New Roman" w:eastAsia="宋体"/>
          <w:sz w:val="24"/>
          <w:szCs w:val="28"/>
        </w:rPr>
        <w:t>XXX。</w:t>
      </w:r>
    </w:p>
    <w:p>
      <w:pPr>
        <w:pStyle w:val="8"/>
        <w:spacing w:line="360" w:lineRule="auto"/>
        <w:ind w:left="0" w:leftChars="0" w:firstLine="0" w:firstLineChars="0"/>
        <w:outlineLvl w:val="1"/>
        <w:rPr>
          <w:rFonts w:ascii="Times New Roman" w:hAnsi="Times New Roman" w:eastAsia="宋体"/>
          <w:b/>
          <w:bCs/>
          <w:sz w:val="24"/>
          <w:szCs w:val="28"/>
        </w:rPr>
      </w:pPr>
      <w:bookmarkStart w:id="19" w:name="_Toc25189"/>
      <w:bookmarkStart w:id="20" w:name="_Toc18385"/>
      <w:r>
        <w:rPr>
          <w:rFonts w:hint="eastAsia" w:ascii="Times New Roman" w:hAnsi="Times New Roman" w:eastAsia="宋体"/>
          <w:b/>
          <w:bCs/>
          <w:sz w:val="24"/>
          <w:szCs w:val="28"/>
          <w:lang w:val="en-US" w:eastAsia="zh-CN"/>
        </w:rPr>
        <w:t>6.2</w:t>
      </w:r>
      <w:r>
        <w:rPr>
          <w:rFonts w:hint="eastAsia" w:ascii="Times New Roman" w:hAnsi="Times New Roman" w:eastAsia="宋体"/>
          <w:b/>
          <w:bCs/>
          <w:sz w:val="24"/>
          <w:szCs w:val="28"/>
        </w:rPr>
        <w:t>对项目竖向布置的总体评价</w:t>
      </w:r>
      <w:bookmarkEnd w:id="19"/>
      <w:bookmarkEnd w:id="20"/>
    </w:p>
    <w:p>
      <w:pPr>
        <w:pStyle w:val="8"/>
        <w:spacing w:line="360" w:lineRule="auto"/>
        <w:ind w:firstLine="480"/>
        <w:rPr>
          <w:rFonts w:ascii="Times New Roman" w:hAnsi="Times New Roman" w:eastAsia="宋体"/>
          <w:sz w:val="24"/>
          <w:szCs w:val="28"/>
        </w:rPr>
      </w:pPr>
      <w:r>
        <w:rPr>
          <w:rFonts w:hint="eastAsia" w:ascii="Times New Roman" w:hAnsi="Times New Roman" w:eastAsia="宋体"/>
          <w:sz w:val="24"/>
          <w:szCs w:val="28"/>
        </w:rPr>
        <w:t>XXX。</w:t>
      </w:r>
    </w:p>
    <w:p>
      <w:pPr>
        <w:pStyle w:val="8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Times New Roman" w:hAnsi="Times New Roman" w:eastAsia="宋体"/>
          <w:b/>
          <w:bCs/>
          <w:sz w:val="24"/>
          <w:szCs w:val="28"/>
        </w:rPr>
      </w:pPr>
      <w:bookmarkStart w:id="21" w:name="_Toc14055"/>
      <w:bookmarkStart w:id="22" w:name="_Toc15587"/>
      <w:r>
        <w:rPr>
          <w:rFonts w:hint="eastAsia" w:ascii="Times New Roman" w:hAnsi="Times New Roman" w:eastAsia="宋体"/>
          <w:b/>
          <w:bCs/>
          <w:sz w:val="24"/>
          <w:szCs w:val="28"/>
          <w:lang w:val="en-US" w:eastAsia="zh-CN"/>
        </w:rPr>
        <w:t>6.3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8"/>
          <w:lang w:val="en-US" w:eastAsia="zh-CN"/>
        </w:rPr>
        <w:t>基础</w:t>
      </w:r>
      <w:r>
        <w:rPr>
          <w:rFonts w:hint="eastAsia" w:ascii="Times New Roman" w:hAnsi="Times New Roman" w:eastAsia="宋体"/>
          <w:b/>
          <w:bCs/>
          <w:color w:val="auto"/>
          <w:sz w:val="24"/>
          <w:szCs w:val="28"/>
          <w:lang w:val="en-US" w:eastAsia="zh-CN"/>
        </w:rPr>
        <w:t>设计方案、</w:t>
      </w:r>
      <w:r>
        <w:rPr>
          <w:rFonts w:hint="eastAsia" w:ascii="Times New Roman" w:hAnsi="Times New Roman" w:eastAsia="宋体"/>
          <w:b/>
          <w:bCs/>
          <w:sz w:val="24"/>
          <w:szCs w:val="28"/>
        </w:rPr>
        <w:t>土方平衡计算复核总结</w:t>
      </w:r>
      <w:bookmarkEnd w:id="21"/>
      <w:bookmarkEnd w:id="22"/>
    </w:p>
    <w:p>
      <w:pPr>
        <w:pStyle w:val="8"/>
        <w:spacing w:line="360" w:lineRule="auto"/>
        <w:ind w:firstLine="480"/>
        <w:rPr>
          <w:rFonts w:hint="default" w:ascii="Times New Roman" w:hAnsi="Times New Roman" w:eastAsia="宋体" w:cs="Times New Roman"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（1）基础与基坑设计方案</w:t>
      </w:r>
    </w:p>
    <w:p>
      <w:pPr>
        <w:pStyle w:val="8"/>
        <w:spacing w:line="360" w:lineRule="auto"/>
        <w:ind w:firstLine="480"/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</w:pPr>
      <w:r>
        <w:rPr>
          <w:rFonts w:hint="eastAsia" w:ascii="Times New Roman" w:hAnsi="Times New Roman" w:eastAsia="宋体"/>
          <w:color w:val="C00000"/>
          <w:sz w:val="24"/>
          <w:szCs w:val="28"/>
          <w:u w:val="wave"/>
        </w:rPr>
        <w:t>本项目基础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形式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</w:rPr>
        <w:t>：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XXX；</w:t>
      </w:r>
    </w:p>
    <w:p>
      <w:pPr>
        <w:pStyle w:val="8"/>
        <w:spacing w:line="360" w:lineRule="auto"/>
        <w:ind w:firstLine="480"/>
        <w:rPr>
          <w:rFonts w:hint="default" w:ascii="Times New Roman" w:hAnsi="Times New Roman" w:eastAsia="宋体"/>
          <w:color w:val="C00000"/>
          <w:sz w:val="24"/>
          <w:szCs w:val="28"/>
          <w:u w:val="wave"/>
          <w:lang w:val="en-US" w:eastAsia="zh-CN"/>
        </w:rPr>
      </w:pP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基坑围护方案：XXX。</w:t>
      </w:r>
    </w:p>
    <w:p>
      <w:pPr>
        <w:pStyle w:val="8"/>
        <w:spacing w:line="360" w:lineRule="auto"/>
        <w:ind w:firstLine="480"/>
        <w:rPr>
          <w:rFonts w:hint="eastAsia" w:ascii="Times New Roman" w:hAnsi="Times New Roman" w:eastAsia="宋体"/>
          <w:color w:val="C00000"/>
          <w:sz w:val="24"/>
          <w:szCs w:val="28"/>
          <w:u w:val="wave"/>
        </w:rPr>
      </w:pP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项目基础形式及基坑围护方案适配场地地质条件，通过方案优化实现了工程渣土源头减量，符合指南源头减量化要求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</w:rPr>
        <w:t>。</w:t>
      </w:r>
    </w:p>
    <w:p>
      <w:pPr>
        <w:pStyle w:val="8"/>
        <w:spacing w:line="360" w:lineRule="auto"/>
        <w:ind w:firstLine="480"/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（2）土方平衡复核</w:t>
      </w:r>
    </w:p>
    <w:p>
      <w:pPr>
        <w:pStyle w:val="8"/>
        <w:spacing w:line="360" w:lineRule="auto"/>
        <w:ind w:firstLine="480"/>
        <w:rPr>
          <w:rFonts w:ascii="Times New Roman" w:hAnsi="Times New Roman" w:eastAsia="宋体"/>
          <w:sz w:val="24"/>
          <w:szCs w:val="28"/>
        </w:rPr>
      </w:pP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示例：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</w:rPr>
        <w:t>经复核，计算过程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合规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</w:rPr>
        <w:t>，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计算依据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</w:rPr>
        <w:t>可靠（基于勘察报告及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设计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</w:rPr>
        <w:t>图纸），计算方法正确。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项目土方自平衡率计算无误，成果可作为项目土方处置依据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</w:rPr>
        <w:t>。</w:t>
      </w:r>
    </w:p>
    <w:p>
      <w:pPr>
        <w:pStyle w:val="8"/>
        <w:spacing w:line="360" w:lineRule="auto"/>
        <w:ind w:left="0" w:leftChars="0" w:firstLine="0" w:firstLineChars="0"/>
        <w:outlineLvl w:val="1"/>
        <w:rPr>
          <w:rFonts w:hint="default" w:ascii="Times New Roman" w:hAnsi="Times New Roman" w:eastAsia="宋体"/>
          <w:b/>
          <w:bCs/>
          <w:color w:val="auto"/>
          <w:sz w:val="24"/>
          <w:szCs w:val="28"/>
          <w:lang w:val="en-US" w:eastAsia="zh-CN"/>
        </w:rPr>
      </w:pPr>
      <w:bookmarkStart w:id="23" w:name="_Toc32"/>
      <w:bookmarkStart w:id="24" w:name="_Toc17015"/>
      <w:r>
        <w:rPr>
          <w:rFonts w:hint="eastAsia" w:ascii="Times New Roman" w:hAnsi="Times New Roman" w:eastAsia="宋体"/>
          <w:b/>
          <w:bCs/>
          <w:color w:val="auto"/>
          <w:sz w:val="24"/>
          <w:szCs w:val="28"/>
          <w:lang w:val="en-US" w:eastAsia="zh-CN"/>
        </w:rPr>
        <w:t>6.4场内</w:t>
      </w:r>
      <w:r>
        <w:rPr>
          <w:rFonts w:hint="eastAsia" w:ascii="Times New Roman" w:hAnsi="Times New Roman" w:eastAsia="宋体"/>
          <w:b/>
          <w:bCs/>
          <w:color w:val="auto"/>
          <w:sz w:val="24"/>
          <w:szCs w:val="28"/>
        </w:rPr>
        <w:t>资源化利用合理性</w:t>
      </w:r>
      <w:bookmarkEnd w:id="23"/>
      <w:r>
        <w:rPr>
          <w:rFonts w:hint="eastAsia" w:ascii="Times New Roman" w:hAnsi="Times New Roman" w:eastAsia="宋体"/>
          <w:b/>
          <w:bCs/>
          <w:color w:val="auto"/>
          <w:sz w:val="24"/>
          <w:szCs w:val="28"/>
          <w:lang w:val="en-US" w:eastAsia="zh-CN"/>
        </w:rPr>
        <w:t>评价</w:t>
      </w:r>
      <w:bookmarkEnd w:id="24"/>
    </w:p>
    <w:p>
      <w:pPr>
        <w:pStyle w:val="8"/>
        <w:spacing w:line="360" w:lineRule="auto"/>
        <w:ind w:firstLine="480"/>
        <w:rPr>
          <w:rFonts w:hint="eastAsia" w:ascii="Times New Roman" w:hAnsi="Times New Roman" w:eastAsia="宋体"/>
          <w:color w:val="C00000"/>
          <w:sz w:val="24"/>
          <w:szCs w:val="28"/>
          <w:u w:val="wave"/>
          <w:lang w:eastAsia="zh-CN"/>
        </w:rPr>
      </w:pP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示例：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</w:rPr>
        <w:t>本项目积极响应国家及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省市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</w:rPr>
        <w:t>建筑垃圾减量化政策要求，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落实土方综合利用措施如下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</w:rPr>
        <w:t>：XXX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eastAsia="zh-CN"/>
        </w:rPr>
        <w:t>；</w:t>
      </w:r>
    </w:p>
    <w:p>
      <w:pPr>
        <w:pStyle w:val="8"/>
        <w:spacing w:line="360" w:lineRule="auto"/>
        <w:ind w:left="0" w:leftChars="0" w:firstLine="480" w:firstLineChars="200"/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</w:pPr>
      <w:r>
        <w:rPr>
          <w:rFonts w:hint="eastAsia" w:ascii="Times New Roman" w:hAnsi="Times New Roman" w:eastAsia="宋体"/>
          <w:color w:val="C00000"/>
          <w:sz w:val="24"/>
          <w:szCs w:val="28"/>
          <w:u w:val="wave"/>
        </w:rPr>
        <w:t>本项目积极响应建筑垃圾资源化政策，在建设过程中使用由工程渣土、废弃混凝土等固废制成的再生建材产品情况如下：XXX。</w:t>
      </w:r>
    </w:p>
    <w:p>
      <w:pPr>
        <w:pStyle w:val="8"/>
        <w:numPr>
          <w:ilvl w:val="0"/>
          <w:numId w:val="0"/>
        </w:numPr>
        <w:spacing w:line="360" w:lineRule="auto"/>
        <w:ind w:leftChars="0"/>
        <w:outlineLvl w:val="1"/>
        <w:rPr>
          <w:rFonts w:hint="default" w:ascii="Times New Roman" w:hAnsi="Times New Roman" w:eastAsia="宋体"/>
          <w:b/>
          <w:bCs/>
          <w:color w:val="auto"/>
          <w:sz w:val="24"/>
          <w:szCs w:val="28"/>
          <w:lang w:val="en-US" w:eastAsia="zh-CN"/>
        </w:rPr>
      </w:pPr>
      <w:bookmarkStart w:id="25" w:name="_Toc1975"/>
      <w:bookmarkStart w:id="26" w:name="_Toc894"/>
      <w:r>
        <w:rPr>
          <w:rFonts w:hint="eastAsia" w:ascii="Times New Roman" w:hAnsi="Times New Roman" w:eastAsia="宋体"/>
          <w:b/>
          <w:bCs/>
          <w:color w:val="auto"/>
          <w:sz w:val="24"/>
          <w:szCs w:val="28"/>
          <w:lang w:val="en-US" w:eastAsia="zh-CN"/>
        </w:rPr>
        <w:t>6.5</w:t>
      </w:r>
      <w:r>
        <w:rPr>
          <w:rFonts w:hint="eastAsia" w:ascii="Times New Roman" w:hAnsi="Times New Roman" w:eastAsia="宋体"/>
          <w:b/>
          <w:bCs/>
          <w:color w:val="auto"/>
          <w:sz w:val="24"/>
          <w:szCs w:val="28"/>
        </w:rPr>
        <w:t>外运土方</w:t>
      </w:r>
      <w:r>
        <w:rPr>
          <w:rFonts w:hint="eastAsia" w:ascii="Times New Roman" w:hAnsi="Times New Roman" w:eastAsia="宋体"/>
          <w:b/>
          <w:bCs/>
          <w:color w:val="auto"/>
          <w:sz w:val="24"/>
          <w:szCs w:val="28"/>
          <w:lang w:val="en-US" w:eastAsia="zh-CN"/>
        </w:rPr>
        <w:t>处置</w:t>
      </w:r>
      <w:bookmarkEnd w:id="25"/>
      <w:r>
        <w:rPr>
          <w:rFonts w:hint="eastAsia" w:ascii="Times New Roman" w:hAnsi="Times New Roman" w:eastAsia="宋体"/>
          <w:b/>
          <w:bCs/>
          <w:color w:val="auto"/>
          <w:sz w:val="24"/>
          <w:szCs w:val="28"/>
          <w:lang w:val="en-US" w:eastAsia="zh-CN"/>
        </w:rPr>
        <w:t>方案合理性评价</w:t>
      </w:r>
      <w:bookmarkEnd w:id="26"/>
    </w:p>
    <w:p>
      <w:pPr>
        <w:pStyle w:val="8"/>
        <w:numPr>
          <w:ilvl w:val="0"/>
          <w:numId w:val="0"/>
        </w:numPr>
        <w:spacing w:line="360" w:lineRule="auto"/>
        <w:ind w:leftChars="0" w:firstLine="480" w:firstLineChars="200"/>
        <w:rPr>
          <w:rFonts w:ascii="Times New Roman" w:hAnsi="Times New Roman" w:eastAsia="宋体"/>
          <w:color w:val="C00000"/>
          <w:sz w:val="24"/>
          <w:szCs w:val="28"/>
          <w:u w:val="wave"/>
        </w:rPr>
      </w:pP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示例：项目外运土方、外购土方的处置方案清晰，处置去向已落实（或有明确意向）。土方处置全流程可满足《</w:t>
      </w:r>
      <w:r>
        <w:rPr>
          <w:rFonts w:hint="eastAsia" w:ascii="宋体" w:hAnsi="宋体" w:eastAsia="宋体" w:cs="Times New Roman"/>
          <w:color w:val="C00000"/>
          <w:kern w:val="0"/>
          <w:sz w:val="24"/>
          <w:szCs w:val="24"/>
          <w:highlight w:val="none"/>
          <w:u w:val="wave"/>
          <w:lang w:val="en-US" w:eastAsia="zh-CN" w:bidi="ar-SA"/>
          <w14:ligatures w14:val="standardContextual"/>
        </w:rPr>
        <w:t>浙江省建筑垃圾减量化专项设计指南（试行）</w:t>
      </w:r>
      <w:r>
        <w:rPr>
          <w:rFonts w:hint="eastAsia" w:ascii="Times New Roman" w:hAnsi="Times New Roman" w:eastAsia="宋体"/>
          <w:color w:val="C00000"/>
          <w:sz w:val="24"/>
          <w:szCs w:val="28"/>
          <w:u w:val="wave"/>
          <w:lang w:val="en-US" w:eastAsia="zh-CN"/>
        </w:rPr>
        <w:t>》及地方建筑垃圾处置相关管理要求。</w:t>
      </w:r>
    </w:p>
    <w:p>
      <w:pPr>
        <w:pStyle w:val="8"/>
        <w:spacing w:line="360" w:lineRule="auto"/>
        <w:ind w:firstLine="480"/>
        <w:rPr>
          <w:rFonts w:hint="eastAsia" w:ascii="Times New Roman" w:hAnsi="Times New Roman" w:eastAsia="宋体"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8"/>
        </w:rPr>
        <w:t>综上所述，本项目土方平衡各评价项目均满足</w:t>
      </w:r>
      <w:r>
        <w:rPr>
          <w:rFonts w:hint="eastAsia" w:ascii="Times New Roman" w:hAnsi="Times New Roman" w:eastAsia="宋体"/>
          <w:sz w:val="24"/>
          <w:szCs w:val="28"/>
          <w:lang w:val="en-US" w:eastAsia="zh-CN"/>
        </w:rPr>
        <w:t>相关规范及政策要求，</w:t>
      </w:r>
      <w:r>
        <w:rPr>
          <w:rFonts w:hint="eastAsia" w:ascii="Times New Roman" w:hAnsi="Times New Roman" w:eastAsia="宋体"/>
          <w:sz w:val="24"/>
          <w:szCs w:val="28"/>
        </w:rPr>
        <w:t>土方平衡评价表如下。</w:t>
      </w: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表格10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土方平衡评价表</w:t>
      </w:r>
    </w:p>
    <w:tbl>
      <w:tblPr>
        <w:tblStyle w:val="6"/>
        <w:tblW w:w="48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3356"/>
        <w:gridCol w:w="253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4" w:type="pct"/>
            <w:noWrap w:val="0"/>
            <w:vAlign w:val="center"/>
          </w:tcPr>
          <w:p>
            <w:pPr>
              <w:pStyle w:val="8"/>
              <w:spacing w:line="36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序号</w:t>
            </w:r>
          </w:p>
        </w:tc>
        <w:tc>
          <w:tcPr>
            <w:tcW w:w="2011" w:type="pct"/>
            <w:noWrap w:val="0"/>
            <w:vAlign w:val="center"/>
          </w:tcPr>
          <w:p>
            <w:pPr>
              <w:pStyle w:val="8"/>
              <w:spacing w:line="36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评价项目</w:t>
            </w:r>
          </w:p>
        </w:tc>
        <w:tc>
          <w:tcPr>
            <w:tcW w:w="1519" w:type="pct"/>
            <w:noWrap w:val="0"/>
            <w:vAlign w:val="center"/>
          </w:tcPr>
          <w:p>
            <w:pPr>
              <w:pStyle w:val="8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响应措施</w:t>
            </w:r>
          </w:p>
          <w:p>
            <w:pPr>
              <w:pStyle w:val="8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（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规范符合性</w:t>
            </w:r>
            <w:r>
              <w:rPr>
                <w:rFonts w:hint="eastAsia" w:ascii="Times New Roman" w:hAnsi="Times New Roman" w:eastAsia="宋体"/>
                <w:lang w:eastAsia="zh-CN"/>
              </w:rPr>
              <w:t>）</w:t>
            </w:r>
          </w:p>
        </w:tc>
        <w:tc>
          <w:tcPr>
            <w:tcW w:w="1023" w:type="pct"/>
            <w:noWrap w:val="0"/>
            <w:vAlign w:val="center"/>
          </w:tcPr>
          <w:p>
            <w:pPr>
              <w:pStyle w:val="8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评价结果</w:t>
            </w:r>
          </w:p>
          <w:p>
            <w:pPr>
              <w:pStyle w:val="8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（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合格/不合格</w:t>
            </w:r>
            <w:r>
              <w:rPr>
                <w:rFonts w:hint="eastAsia" w:ascii="Times New Roman" w:hAnsi="Times New Roman" w:eastAsia="宋体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4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</w:t>
            </w:r>
          </w:p>
        </w:tc>
        <w:tc>
          <w:tcPr>
            <w:tcW w:w="2011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总平面设计、建筑单体布局及场地内部道路规划合理性</w:t>
            </w:r>
          </w:p>
        </w:tc>
        <w:tc>
          <w:tcPr>
            <w:tcW w:w="1519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023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4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2</w:t>
            </w:r>
          </w:p>
        </w:tc>
        <w:tc>
          <w:tcPr>
            <w:tcW w:w="2011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场地竖向设计合理性</w:t>
            </w:r>
          </w:p>
        </w:tc>
        <w:tc>
          <w:tcPr>
            <w:tcW w:w="1519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023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4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</w:rPr>
              <w:t>3</w:t>
            </w:r>
          </w:p>
        </w:tc>
        <w:tc>
          <w:tcPr>
            <w:tcW w:w="2011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基础与基坑工程设计合理性</w:t>
            </w:r>
          </w:p>
        </w:tc>
        <w:tc>
          <w:tcPr>
            <w:tcW w:w="1519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  <w:color w:val="C00000"/>
              </w:rPr>
            </w:pPr>
          </w:p>
        </w:tc>
        <w:tc>
          <w:tcPr>
            <w:tcW w:w="1023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4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</w:p>
        </w:tc>
        <w:tc>
          <w:tcPr>
            <w:tcW w:w="2011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土方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与建筑垃圾</w:t>
            </w:r>
            <w:r>
              <w:rPr>
                <w:rFonts w:hint="eastAsia" w:ascii="Times New Roman" w:hAnsi="Times New Roman" w:eastAsia="宋体"/>
              </w:rPr>
              <w:t>资源化利用合理性</w:t>
            </w:r>
          </w:p>
        </w:tc>
        <w:tc>
          <w:tcPr>
            <w:tcW w:w="1519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023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44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5</w:t>
            </w:r>
          </w:p>
        </w:tc>
        <w:tc>
          <w:tcPr>
            <w:tcW w:w="2011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土方外运合理性</w:t>
            </w:r>
          </w:p>
        </w:tc>
        <w:tc>
          <w:tcPr>
            <w:tcW w:w="1519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023" w:type="pct"/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 w:eastAsia="宋体"/>
              </w:rPr>
            </w:pPr>
          </w:p>
        </w:tc>
      </w:tr>
    </w:tbl>
    <w:p>
      <w:pPr>
        <w:pStyle w:val="8"/>
        <w:numPr>
          <w:ilvl w:val="0"/>
          <w:numId w:val="1"/>
        </w:numPr>
        <w:spacing w:line="360" w:lineRule="auto"/>
        <w:ind w:left="0" w:leftChars="0" w:firstLine="0" w:firstLineChars="0"/>
        <w:jc w:val="center"/>
        <w:outlineLvl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br w:type="page"/>
      </w:r>
      <w:bookmarkStart w:id="27" w:name="_Toc22613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结论与建议</w:t>
      </w:r>
      <w:bookmarkEnd w:id="27"/>
    </w:p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28" w:name="_Toc10879"/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</w:rPr>
        <w:t>.1 土方平衡结论</w:t>
      </w:r>
      <w:bookmarkEnd w:id="28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1、本项目总挖方量______m³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合计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lang w:val="en-US" w:eastAsia="zh-CN"/>
        </w:rPr>
        <w:t>t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，总填方量______m³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合计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lang w:val="en-US" w:eastAsia="zh-CN"/>
        </w:rPr>
        <w:t>t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，经平衡计算后需外运______m³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合计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lang w:val="en-US" w:eastAsia="zh-CN"/>
        </w:rPr>
        <w:t>t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，需外购/外运进______m³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合计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lang w:val="en-US" w:eastAsia="zh-CN"/>
        </w:rPr>
        <w:t>t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通过______</w:t>
      </w:r>
      <w:r>
        <w:rPr>
          <w:rFonts w:hint="eastAsia" w:ascii="宋体" w:hAnsi="宋体" w:eastAsia="宋体" w:cs="宋体"/>
          <w:color w:val="C00000"/>
          <w:sz w:val="24"/>
          <w:szCs w:val="24"/>
          <w:u w:val="wave"/>
        </w:rPr>
        <w:t>（具体措施）</w:t>
      </w:r>
      <w:r>
        <w:rPr>
          <w:rFonts w:hint="eastAsia" w:ascii="宋体" w:hAnsi="宋体" w:eastAsia="宋体" w:cs="宋体"/>
          <w:sz w:val="24"/>
          <w:szCs w:val="24"/>
        </w:rPr>
        <w:t>实现场内土方最大化利用，减少外运量______m³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合计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 xml:space="preserve">自平衡率为______% 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29" w:name="_Toc14503"/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</w:rPr>
        <w:t>.2 建筑垃圾减量化结论</w:t>
      </w:r>
      <w:bookmarkEnd w:id="29"/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1、预估建筑垃圾总产生量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A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约______m³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合计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C00000"/>
          <w:sz w:val="24"/>
          <w:u w:val="wav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、通过______</w:t>
      </w:r>
      <w:r>
        <w:rPr>
          <w:rFonts w:hint="eastAsia" w:ascii="宋体" w:hAnsi="宋体" w:eastAsia="宋体" w:cs="宋体"/>
          <w:color w:val="C00000"/>
          <w:sz w:val="24"/>
          <w:u w:val="wave"/>
        </w:rPr>
        <w:t>（具体措施）</w:t>
      </w:r>
      <w:r>
        <w:rPr>
          <w:rFonts w:hint="eastAsia" w:ascii="宋体" w:hAnsi="宋体" w:eastAsia="宋体" w:cs="宋体"/>
          <w:sz w:val="24"/>
        </w:rPr>
        <w:t>实现</w:t>
      </w:r>
      <w:r>
        <w:rPr>
          <w:rFonts w:hint="eastAsia" w:ascii="宋体" w:hAnsi="宋体" w:eastAsia="宋体" w:cs="宋体"/>
          <w:sz w:val="24"/>
          <w:lang w:val="en-US" w:eastAsia="zh-CN"/>
        </w:rPr>
        <w:t>建筑垃圾减量化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______m³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合计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t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排放量下降</w:t>
      </w:r>
      <w:r>
        <w:rPr>
          <w:rFonts w:hint="eastAsia" w:ascii="宋体" w:hAnsi="宋体" w:eastAsia="宋体" w:cs="宋体"/>
          <w:sz w:val="24"/>
        </w:rPr>
        <w:t>______%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（计算公式为B/(A+B）*100%）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满足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“工程渣土、工程泥浆排放量较估算值下降3%”的要求。</w:t>
      </w:r>
      <w:r>
        <w:rPr>
          <w:rFonts w:hint="eastAsia" w:ascii="宋体" w:hAnsi="宋体" w:eastAsia="宋体" w:cs="宋体"/>
          <w:color w:val="C00000"/>
          <w:sz w:val="24"/>
          <w:szCs w:val="24"/>
          <w:u w:val="wave"/>
          <w:lang w:val="en-US" w:eastAsia="zh-CN"/>
        </w:rPr>
        <w:t>（如不能满足，应充分说明原因）</w:t>
      </w:r>
    </w:p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30" w:name="_Toc23596"/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</w:rPr>
        <w:t>.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</w:rPr>
        <w:t>减量化措施建议</w:t>
      </w:r>
      <w:bookmarkEnd w:id="30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C00000"/>
          <w:sz w:val="24"/>
          <w:u w:val="wave"/>
        </w:rPr>
      </w:pPr>
      <w:r>
        <w:rPr>
          <w:rFonts w:hint="eastAsia" w:ascii="宋体" w:hAnsi="宋体" w:eastAsia="宋体" w:cs="宋体"/>
          <w:color w:val="C00000"/>
          <w:sz w:val="24"/>
          <w:u w:val="wave"/>
        </w:rPr>
        <w:t>根据实际情况</w:t>
      </w:r>
      <w:r>
        <w:rPr>
          <w:rFonts w:hint="eastAsia" w:ascii="宋体" w:hAnsi="宋体" w:eastAsia="宋体" w:cs="宋体"/>
          <w:color w:val="C00000"/>
          <w:sz w:val="24"/>
          <w:u w:val="wave"/>
          <w:lang w:val="en-US" w:eastAsia="zh-CN"/>
        </w:rPr>
        <w:t>简要</w:t>
      </w:r>
      <w:r>
        <w:rPr>
          <w:rFonts w:hint="eastAsia" w:ascii="宋体" w:hAnsi="宋体" w:eastAsia="宋体" w:cs="宋体"/>
          <w:color w:val="C00000"/>
          <w:sz w:val="24"/>
          <w:u w:val="wave"/>
        </w:rPr>
        <w:t>填写</w:t>
      </w:r>
      <w:r>
        <w:rPr>
          <w:rFonts w:hint="eastAsia" w:ascii="宋体" w:hAnsi="宋体" w:eastAsia="宋体" w:cs="宋体"/>
          <w:color w:val="C00000"/>
          <w:sz w:val="24"/>
          <w:u w:val="wave"/>
          <w:lang w:val="en-US" w:eastAsia="zh-CN"/>
        </w:rPr>
        <w:t>可落地优化建议</w:t>
      </w:r>
      <w:r>
        <w:rPr>
          <w:rFonts w:hint="eastAsia" w:ascii="宋体" w:hAnsi="宋体" w:eastAsia="宋体" w:cs="宋体"/>
          <w:color w:val="C00000"/>
          <w:sz w:val="24"/>
          <w:u w:val="wave"/>
        </w:rPr>
        <w:t>。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numPr>
          <w:ilvl w:val="0"/>
          <w:numId w:val="1"/>
        </w:numPr>
        <w:spacing w:line="360" w:lineRule="auto"/>
        <w:jc w:val="center"/>
        <w:outlineLvl w:val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br w:type="page"/>
      </w:r>
      <w:bookmarkStart w:id="31" w:name="_Toc13267"/>
      <w:r>
        <w:rPr>
          <w:rFonts w:hint="eastAsia"/>
          <w:b/>
          <w:bCs/>
          <w:sz w:val="28"/>
          <w:szCs w:val="28"/>
        </w:rPr>
        <w:t>附件</w:t>
      </w:r>
      <w:bookmarkEnd w:id="31"/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1、场地原始地形图及设计标高图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、土质勘察报告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、土方计算三维模型（BIM+GIS）（如有）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4、建筑垃圾处置协议/意向书（如有）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5、相邻项目共建共享协议（如有）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6、其他相关资料：________________________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jc w:val="right"/>
        <w:rPr>
          <w:rFonts w:hint="eastAsia"/>
          <w:sz w:val="24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编制人：_________ 审核人：_______ 批准人：________</w:t>
      </w:r>
    </w:p>
    <w:p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日期：______年______月______日</w:t>
      </w:r>
    </w:p>
    <w:p>
      <w:pPr>
        <w:ind w:firstLine="562" w:firstLineChars="200"/>
        <w:rPr>
          <w:rFonts w:hint="eastAsia" w:ascii="宋体" w:hAnsi="宋体" w:eastAsia="宋体" w:cs="Times New Roman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宋体" w:hAnsi="宋体" w:eastAsia="宋体" w:cs="Times New Roman"/>
          <w:color w:val="auto"/>
          <w:kern w:val="0"/>
          <w:sz w:val="28"/>
          <w:szCs w:val="28"/>
          <w:highlight w:val="none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072241"/>
    <w:multiLevelType w:val="singleLevel"/>
    <w:tmpl w:val="E307224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4YjIyN2QwZjRkMTI4YTVkNWI2NWI1MDkxOWJlYzgifQ=="/>
  </w:docVars>
  <w:rsids>
    <w:rsidRoot w:val="31FF0083"/>
    <w:rsid w:val="02BF4C6F"/>
    <w:rsid w:val="06A44D39"/>
    <w:rsid w:val="070F7027"/>
    <w:rsid w:val="0F601A19"/>
    <w:rsid w:val="122E651A"/>
    <w:rsid w:val="31FF0083"/>
    <w:rsid w:val="36E25375"/>
    <w:rsid w:val="3829656E"/>
    <w:rsid w:val="391400A7"/>
    <w:rsid w:val="396A50BF"/>
    <w:rsid w:val="451A329F"/>
    <w:rsid w:val="4A38536D"/>
    <w:rsid w:val="4CAA64D4"/>
    <w:rsid w:val="4E331BD9"/>
    <w:rsid w:val="509A584B"/>
    <w:rsid w:val="547E0A4C"/>
    <w:rsid w:val="581C679B"/>
    <w:rsid w:val="5FE04C9B"/>
    <w:rsid w:val="6B2705C0"/>
    <w:rsid w:val="714C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toc 1"/>
    <w:basedOn w:val="1"/>
    <w:next w:val="1"/>
    <w:autoRedefine/>
    <w:qFormat/>
    <w:uiPriority w:val="0"/>
  </w:style>
  <w:style w:type="paragraph" w:styleId="4">
    <w:name w:val="toc 2"/>
    <w:basedOn w:val="1"/>
    <w:next w:val="1"/>
    <w:autoRedefine/>
    <w:qFormat/>
    <w:uiPriority w:val="0"/>
    <w:pPr>
      <w:ind w:left="420" w:leftChars="200"/>
    </w:p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9">
    <w:name w:val="WPSOffice手动目录 1"/>
    <w:autoRedefine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0">
    <w:name w:val="WPSOffice手动目录 2"/>
    <w:autoRedefine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2024</Words>
  <Characters>2625</Characters>
  <Lines>0</Lines>
  <Paragraphs>0</Paragraphs>
  <TotalTime>2</TotalTime>
  <ScaleCrop>false</ScaleCrop>
  <LinksUpToDate>false</LinksUpToDate>
  <CharactersWithSpaces>2680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2026-04-07T14:12:00Z</dcterms:created>
  <dc:creator>杨含悦</dc:creator>
  <cp:lastModifiedBy>杨含悦</cp:lastModifiedBy>
  <dcterms:modified xsi:type="dcterms:W3CDTF">2026-04-08T07:33:32Z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3266D1F355964905A631E56DA4F605DD_13</vt:lpwstr>
  </property>
</Properties>
</file>